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E191" w14:textId="0E6CB1C4" w:rsidR="00A3619A" w:rsidRPr="005B78A7" w:rsidRDefault="00A3619A" w:rsidP="00A3619A">
      <w:pPr>
        <w:pStyle w:val="Default"/>
        <w:jc w:val="center"/>
        <w:rPr>
          <w:sz w:val="20"/>
          <w:szCs w:val="20"/>
        </w:rPr>
      </w:pPr>
      <w:r w:rsidRPr="005B78A7">
        <w:rPr>
          <w:noProof/>
          <w:sz w:val="20"/>
          <w:szCs w:val="20"/>
        </w:rPr>
        <w:drawing>
          <wp:inline distT="0" distB="0" distL="0" distR="0" wp14:anchorId="7AEC5EB4" wp14:editId="4117D73C">
            <wp:extent cx="5407152" cy="621792"/>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5407152" cy="621792"/>
                    </a:xfrm>
                    <a:prstGeom prst="rect">
                      <a:avLst/>
                    </a:prstGeom>
                  </pic:spPr>
                </pic:pic>
              </a:graphicData>
            </a:graphic>
          </wp:inline>
        </w:drawing>
      </w:r>
    </w:p>
    <w:p w14:paraId="76DD4902" w14:textId="77777777" w:rsidR="00A3619A" w:rsidRPr="005B78A7" w:rsidRDefault="00A3619A" w:rsidP="00E15550">
      <w:pPr>
        <w:pStyle w:val="Default"/>
        <w:jc w:val="both"/>
        <w:rPr>
          <w:sz w:val="20"/>
          <w:szCs w:val="20"/>
        </w:rPr>
      </w:pPr>
    </w:p>
    <w:p w14:paraId="3D014752" w14:textId="0144DFA1" w:rsidR="00075D3B" w:rsidRPr="005B78A7" w:rsidRDefault="003852A7" w:rsidP="00075D3B">
      <w:pPr>
        <w:pStyle w:val="Default"/>
        <w:jc w:val="center"/>
        <w:rPr>
          <w:sz w:val="20"/>
          <w:szCs w:val="20"/>
        </w:rPr>
      </w:pPr>
      <w:r w:rsidRPr="005B78A7">
        <w:rPr>
          <w:b/>
          <w:bCs/>
          <w:sz w:val="32"/>
          <w:szCs w:val="32"/>
        </w:rPr>
        <w:t>Non- Safeguarding</w:t>
      </w:r>
      <w:r w:rsidR="00075D3B" w:rsidRPr="005B78A7">
        <w:rPr>
          <w:b/>
          <w:bCs/>
          <w:sz w:val="32"/>
          <w:szCs w:val="32"/>
        </w:rPr>
        <w:t xml:space="preserve"> Notification Form Guidance Tool</w:t>
      </w:r>
    </w:p>
    <w:p w14:paraId="7EB66A3A" w14:textId="2F3BB615" w:rsidR="00075D3B" w:rsidRPr="005B78A7" w:rsidRDefault="00634AC4" w:rsidP="00634AC4">
      <w:pPr>
        <w:pStyle w:val="Default"/>
        <w:tabs>
          <w:tab w:val="left" w:pos="12840"/>
        </w:tabs>
        <w:jc w:val="both"/>
        <w:rPr>
          <w:sz w:val="20"/>
          <w:szCs w:val="20"/>
        </w:rPr>
      </w:pPr>
      <w:r>
        <w:rPr>
          <w:sz w:val="20"/>
          <w:szCs w:val="20"/>
        </w:rPr>
        <w:tab/>
      </w:r>
    </w:p>
    <w:p w14:paraId="4D33422C" w14:textId="313E6ED9" w:rsidR="00D57233" w:rsidRDefault="002E0721">
      <w:pPr>
        <w:pStyle w:val="TOC1"/>
        <w:tabs>
          <w:tab w:val="right" w:leader="dot" w:pos="13948"/>
        </w:tabs>
        <w:rPr>
          <w:rFonts w:eastAsiaTheme="minorEastAsia"/>
          <w:noProof/>
          <w:kern w:val="2"/>
          <w:lang w:eastAsia="en-GB"/>
          <w14:ligatures w14:val="standardContextual"/>
        </w:rPr>
      </w:pPr>
      <w:r w:rsidRPr="005B78A7">
        <w:rPr>
          <w:rFonts w:ascii="Arial" w:hAnsi="Arial" w:cs="Arial"/>
          <w:sz w:val="24"/>
          <w:szCs w:val="24"/>
        </w:rPr>
        <w:fldChar w:fldCharType="begin"/>
      </w:r>
      <w:r w:rsidRPr="005B78A7">
        <w:rPr>
          <w:rFonts w:ascii="Arial" w:hAnsi="Arial" w:cs="Arial"/>
          <w:sz w:val="24"/>
          <w:szCs w:val="24"/>
        </w:rPr>
        <w:instrText xml:space="preserve"> TOC \o "1-3" \h \z \u </w:instrText>
      </w:r>
      <w:r w:rsidRPr="005B78A7">
        <w:rPr>
          <w:rFonts w:ascii="Arial" w:hAnsi="Arial" w:cs="Arial"/>
          <w:sz w:val="24"/>
          <w:szCs w:val="24"/>
        </w:rPr>
        <w:fldChar w:fldCharType="separate"/>
      </w:r>
      <w:hyperlink w:anchor="_Toc183025722" w:history="1">
        <w:r w:rsidR="00D57233" w:rsidRPr="00046CEF">
          <w:rPr>
            <w:rStyle w:val="Hyperlink"/>
            <w:rFonts w:ascii="Arial" w:hAnsi="Arial" w:cs="Arial"/>
            <w:noProof/>
            <w:highlight w:val="lightGray"/>
          </w:rPr>
          <w:t>INTRODUCTION</w:t>
        </w:r>
        <w:r w:rsidR="00D57233">
          <w:rPr>
            <w:noProof/>
            <w:webHidden/>
          </w:rPr>
          <w:tab/>
        </w:r>
        <w:r w:rsidR="00D57233">
          <w:rPr>
            <w:noProof/>
            <w:webHidden/>
          </w:rPr>
          <w:fldChar w:fldCharType="begin"/>
        </w:r>
        <w:r w:rsidR="00D57233">
          <w:rPr>
            <w:noProof/>
            <w:webHidden/>
          </w:rPr>
          <w:instrText xml:space="preserve"> PAGEREF _Toc183025722 \h </w:instrText>
        </w:r>
        <w:r w:rsidR="00D57233">
          <w:rPr>
            <w:noProof/>
            <w:webHidden/>
          </w:rPr>
        </w:r>
        <w:r w:rsidR="00D57233">
          <w:rPr>
            <w:noProof/>
            <w:webHidden/>
          </w:rPr>
          <w:fldChar w:fldCharType="separate"/>
        </w:r>
        <w:r w:rsidR="00D57233">
          <w:rPr>
            <w:noProof/>
            <w:webHidden/>
          </w:rPr>
          <w:t>2</w:t>
        </w:r>
        <w:r w:rsidR="00D57233">
          <w:rPr>
            <w:noProof/>
            <w:webHidden/>
          </w:rPr>
          <w:fldChar w:fldCharType="end"/>
        </w:r>
      </w:hyperlink>
    </w:p>
    <w:p w14:paraId="427E6DD9" w14:textId="108FB291" w:rsidR="00D57233" w:rsidRDefault="0074532A">
      <w:pPr>
        <w:pStyle w:val="TOC1"/>
        <w:tabs>
          <w:tab w:val="right" w:leader="dot" w:pos="13948"/>
        </w:tabs>
        <w:rPr>
          <w:rFonts w:eastAsiaTheme="minorEastAsia"/>
          <w:noProof/>
          <w:kern w:val="2"/>
          <w:lang w:eastAsia="en-GB"/>
          <w14:ligatures w14:val="standardContextual"/>
        </w:rPr>
      </w:pPr>
      <w:hyperlink w:anchor="_Toc183025723" w:history="1">
        <w:r w:rsidR="00D57233" w:rsidRPr="00046CEF">
          <w:rPr>
            <w:rStyle w:val="Hyperlink"/>
            <w:rFonts w:ascii="Arial" w:hAnsi="Arial" w:cs="Arial"/>
            <w:noProof/>
          </w:rPr>
          <w:t>FALLS</w:t>
        </w:r>
        <w:r w:rsidR="00D57233">
          <w:rPr>
            <w:noProof/>
            <w:webHidden/>
          </w:rPr>
          <w:tab/>
        </w:r>
        <w:r w:rsidR="00D57233">
          <w:rPr>
            <w:noProof/>
            <w:webHidden/>
          </w:rPr>
          <w:fldChar w:fldCharType="begin"/>
        </w:r>
        <w:r w:rsidR="00D57233">
          <w:rPr>
            <w:noProof/>
            <w:webHidden/>
          </w:rPr>
          <w:instrText xml:space="preserve"> PAGEREF _Toc183025723 \h </w:instrText>
        </w:r>
        <w:r w:rsidR="00D57233">
          <w:rPr>
            <w:noProof/>
            <w:webHidden/>
          </w:rPr>
        </w:r>
        <w:r w:rsidR="00D57233">
          <w:rPr>
            <w:noProof/>
            <w:webHidden/>
          </w:rPr>
          <w:fldChar w:fldCharType="separate"/>
        </w:r>
        <w:r w:rsidR="00D57233">
          <w:rPr>
            <w:noProof/>
            <w:webHidden/>
          </w:rPr>
          <w:t>3</w:t>
        </w:r>
        <w:r w:rsidR="00D57233">
          <w:rPr>
            <w:noProof/>
            <w:webHidden/>
          </w:rPr>
          <w:fldChar w:fldCharType="end"/>
        </w:r>
      </w:hyperlink>
    </w:p>
    <w:p w14:paraId="0748EBD6" w14:textId="3F79BACD" w:rsidR="00D57233" w:rsidRDefault="0074532A">
      <w:pPr>
        <w:pStyle w:val="TOC1"/>
        <w:tabs>
          <w:tab w:val="right" w:leader="dot" w:pos="13948"/>
        </w:tabs>
        <w:rPr>
          <w:rFonts w:eastAsiaTheme="minorEastAsia"/>
          <w:noProof/>
          <w:kern w:val="2"/>
          <w:lang w:eastAsia="en-GB"/>
          <w14:ligatures w14:val="standardContextual"/>
        </w:rPr>
      </w:pPr>
      <w:hyperlink w:anchor="_Toc183025724" w:history="1">
        <w:r w:rsidR="00D57233" w:rsidRPr="00046CEF">
          <w:rPr>
            <w:rStyle w:val="Hyperlink"/>
            <w:rFonts w:ascii="Arial" w:hAnsi="Arial" w:cs="Arial"/>
            <w:noProof/>
          </w:rPr>
          <w:t>PEER ON PEER INCIDENT</w:t>
        </w:r>
        <w:r w:rsidR="00D57233">
          <w:rPr>
            <w:noProof/>
            <w:webHidden/>
          </w:rPr>
          <w:tab/>
        </w:r>
        <w:r w:rsidR="00D57233">
          <w:rPr>
            <w:noProof/>
            <w:webHidden/>
          </w:rPr>
          <w:fldChar w:fldCharType="begin"/>
        </w:r>
        <w:r w:rsidR="00D57233">
          <w:rPr>
            <w:noProof/>
            <w:webHidden/>
          </w:rPr>
          <w:instrText xml:space="preserve"> PAGEREF _Toc183025724 \h </w:instrText>
        </w:r>
        <w:r w:rsidR="00D57233">
          <w:rPr>
            <w:noProof/>
            <w:webHidden/>
          </w:rPr>
        </w:r>
        <w:r w:rsidR="00D57233">
          <w:rPr>
            <w:noProof/>
            <w:webHidden/>
          </w:rPr>
          <w:fldChar w:fldCharType="separate"/>
        </w:r>
        <w:r w:rsidR="00D57233">
          <w:rPr>
            <w:noProof/>
            <w:webHidden/>
          </w:rPr>
          <w:t>3</w:t>
        </w:r>
        <w:r w:rsidR="00D57233">
          <w:rPr>
            <w:noProof/>
            <w:webHidden/>
          </w:rPr>
          <w:fldChar w:fldCharType="end"/>
        </w:r>
      </w:hyperlink>
    </w:p>
    <w:p w14:paraId="138C2798" w14:textId="3618C98A" w:rsidR="00D57233" w:rsidRDefault="0074532A">
      <w:pPr>
        <w:pStyle w:val="TOC1"/>
        <w:tabs>
          <w:tab w:val="right" w:leader="dot" w:pos="13948"/>
        </w:tabs>
        <w:rPr>
          <w:rFonts w:eastAsiaTheme="minorEastAsia"/>
          <w:noProof/>
          <w:kern w:val="2"/>
          <w:lang w:eastAsia="en-GB"/>
          <w14:ligatures w14:val="standardContextual"/>
        </w:rPr>
      </w:pPr>
      <w:hyperlink w:anchor="_Toc183025725" w:history="1">
        <w:r w:rsidR="00D57233" w:rsidRPr="00046CEF">
          <w:rPr>
            <w:rStyle w:val="Hyperlink"/>
            <w:rFonts w:ascii="Arial" w:hAnsi="Arial" w:cs="Arial"/>
            <w:noProof/>
          </w:rPr>
          <w:t>RISK OR NEAR MISS LINKED TO DIETARY REQUIREMENTS</w:t>
        </w:r>
        <w:r w:rsidR="00D57233">
          <w:rPr>
            <w:noProof/>
            <w:webHidden/>
          </w:rPr>
          <w:tab/>
        </w:r>
        <w:r w:rsidR="00D57233">
          <w:rPr>
            <w:noProof/>
            <w:webHidden/>
          </w:rPr>
          <w:fldChar w:fldCharType="begin"/>
        </w:r>
        <w:r w:rsidR="00D57233">
          <w:rPr>
            <w:noProof/>
            <w:webHidden/>
          </w:rPr>
          <w:instrText xml:space="preserve"> PAGEREF _Toc183025725 \h </w:instrText>
        </w:r>
        <w:r w:rsidR="00D57233">
          <w:rPr>
            <w:noProof/>
            <w:webHidden/>
          </w:rPr>
        </w:r>
        <w:r w:rsidR="00D57233">
          <w:rPr>
            <w:noProof/>
            <w:webHidden/>
          </w:rPr>
          <w:fldChar w:fldCharType="separate"/>
        </w:r>
        <w:r w:rsidR="00D57233">
          <w:rPr>
            <w:noProof/>
            <w:webHidden/>
          </w:rPr>
          <w:t>4</w:t>
        </w:r>
        <w:r w:rsidR="00D57233">
          <w:rPr>
            <w:noProof/>
            <w:webHidden/>
          </w:rPr>
          <w:fldChar w:fldCharType="end"/>
        </w:r>
      </w:hyperlink>
    </w:p>
    <w:p w14:paraId="02D7A433" w14:textId="631E1F93" w:rsidR="00D57233" w:rsidRDefault="0074532A">
      <w:pPr>
        <w:pStyle w:val="TOC1"/>
        <w:tabs>
          <w:tab w:val="right" w:leader="dot" w:pos="13948"/>
        </w:tabs>
        <w:rPr>
          <w:rFonts w:eastAsiaTheme="minorEastAsia"/>
          <w:noProof/>
          <w:kern w:val="2"/>
          <w:lang w:eastAsia="en-GB"/>
          <w14:ligatures w14:val="standardContextual"/>
        </w:rPr>
      </w:pPr>
      <w:hyperlink w:anchor="_Toc183025726" w:history="1">
        <w:r w:rsidR="00D57233" w:rsidRPr="00046CEF">
          <w:rPr>
            <w:rStyle w:val="Hyperlink"/>
            <w:rFonts w:ascii="Arial" w:hAnsi="Arial" w:cs="Arial"/>
            <w:noProof/>
          </w:rPr>
          <w:t>MEDICATION MANAGEMENT</w:t>
        </w:r>
        <w:r w:rsidR="00D57233">
          <w:rPr>
            <w:noProof/>
            <w:webHidden/>
          </w:rPr>
          <w:tab/>
        </w:r>
        <w:r w:rsidR="00D57233">
          <w:rPr>
            <w:noProof/>
            <w:webHidden/>
          </w:rPr>
          <w:fldChar w:fldCharType="begin"/>
        </w:r>
        <w:r w:rsidR="00D57233">
          <w:rPr>
            <w:noProof/>
            <w:webHidden/>
          </w:rPr>
          <w:instrText xml:space="preserve"> PAGEREF _Toc183025726 \h </w:instrText>
        </w:r>
        <w:r w:rsidR="00D57233">
          <w:rPr>
            <w:noProof/>
            <w:webHidden/>
          </w:rPr>
        </w:r>
        <w:r w:rsidR="00D57233">
          <w:rPr>
            <w:noProof/>
            <w:webHidden/>
          </w:rPr>
          <w:fldChar w:fldCharType="separate"/>
        </w:r>
        <w:r w:rsidR="00D57233">
          <w:rPr>
            <w:noProof/>
            <w:webHidden/>
          </w:rPr>
          <w:t>4</w:t>
        </w:r>
        <w:r w:rsidR="00D57233">
          <w:rPr>
            <w:noProof/>
            <w:webHidden/>
          </w:rPr>
          <w:fldChar w:fldCharType="end"/>
        </w:r>
      </w:hyperlink>
    </w:p>
    <w:p w14:paraId="25C2F1ED" w14:textId="33D1007D" w:rsidR="00D57233" w:rsidRDefault="0074532A">
      <w:pPr>
        <w:pStyle w:val="TOC1"/>
        <w:tabs>
          <w:tab w:val="right" w:leader="dot" w:pos="13948"/>
        </w:tabs>
        <w:rPr>
          <w:rFonts w:eastAsiaTheme="minorEastAsia"/>
          <w:noProof/>
          <w:kern w:val="2"/>
          <w:lang w:eastAsia="en-GB"/>
          <w14:ligatures w14:val="standardContextual"/>
        </w:rPr>
      </w:pPr>
      <w:hyperlink w:anchor="_Toc183025727" w:history="1">
        <w:r w:rsidR="00D57233" w:rsidRPr="00046CEF">
          <w:rPr>
            <w:rStyle w:val="Hyperlink"/>
            <w:rFonts w:ascii="Arial" w:hAnsi="Arial" w:cs="Arial"/>
            <w:noProof/>
          </w:rPr>
          <w:t>MISSED VISIT</w:t>
        </w:r>
        <w:r w:rsidR="00D57233">
          <w:rPr>
            <w:noProof/>
            <w:webHidden/>
          </w:rPr>
          <w:tab/>
        </w:r>
        <w:r w:rsidR="00D57233">
          <w:rPr>
            <w:noProof/>
            <w:webHidden/>
          </w:rPr>
          <w:fldChar w:fldCharType="begin"/>
        </w:r>
        <w:r w:rsidR="00D57233">
          <w:rPr>
            <w:noProof/>
            <w:webHidden/>
          </w:rPr>
          <w:instrText xml:space="preserve"> PAGEREF _Toc183025727 \h </w:instrText>
        </w:r>
        <w:r w:rsidR="00D57233">
          <w:rPr>
            <w:noProof/>
            <w:webHidden/>
          </w:rPr>
        </w:r>
        <w:r w:rsidR="00D57233">
          <w:rPr>
            <w:noProof/>
            <w:webHidden/>
          </w:rPr>
          <w:fldChar w:fldCharType="separate"/>
        </w:r>
        <w:r w:rsidR="00D57233">
          <w:rPr>
            <w:noProof/>
            <w:webHidden/>
          </w:rPr>
          <w:t>5</w:t>
        </w:r>
        <w:r w:rsidR="00D57233">
          <w:rPr>
            <w:noProof/>
            <w:webHidden/>
          </w:rPr>
          <w:fldChar w:fldCharType="end"/>
        </w:r>
      </w:hyperlink>
    </w:p>
    <w:p w14:paraId="42C7C9D2" w14:textId="11BFA3D7" w:rsidR="00D57233" w:rsidRDefault="0074532A">
      <w:pPr>
        <w:pStyle w:val="TOC1"/>
        <w:tabs>
          <w:tab w:val="right" w:leader="dot" w:pos="13948"/>
        </w:tabs>
        <w:rPr>
          <w:rFonts w:eastAsiaTheme="minorEastAsia"/>
          <w:noProof/>
          <w:kern w:val="2"/>
          <w:lang w:eastAsia="en-GB"/>
          <w14:ligatures w14:val="standardContextual"/>
        </w:rPr>
      </w:pPr>
      <w:hyperlink w:anchor="_Toc183025728" w:history="1">
        <w:r w:rsidR="00D57233" w:rsidRPr="00046CEF">
          <w:rPr>
            <w:rStyle w:val="Hyperlink"/>
            <w:rFonts w:ascii="Arial" w:hAnsi="Arial" w:cs="Arial"/>
            <w:noProof/>
          </w:rPr>
          <w:t>MOVING AND HANDLING</w:t>
        </w:r>
        <w:r w:rsidR="00D57233">
          <w:rPr>
            <w:noProof/>
            <w:webHidden/>
          </w:rPr>
          <w:tab/>
        </w:r>
        <w:r w:rsidR="00D57233">
          <w:rPr>
            <w:noProof/>
            <w:webHidden/>
          </w:rPr>
          <w:fldChar w:fldCharType="begin"/>
        </w:r>
        <w:r w:rsidR="00D57233">
          <w:rPr>
            <w:noProof/>
            <w:webHidden/>
          </w:rPr>
          <w:instrText xml:space="preserve"> PAGEREF _Toc183025728 \h </w:instrText>
        </w:r>
        <w:r w:rsidR="00D57233">
          <w:rPr>
            <w:noProof/>
            <w:webHidden/>
          </w:rPr>
        </w:r>
        <w:r w:rsidR="00D57233">
          <w:rPr>
            <w:noProof/>
            <w:webHidden/>
          </w:rPr>
          <w:fldChar w:fldCharType="separate"/>
        </w:r>
        <w:r w:rsidR="00D57233">
          <w:rPr>
            <w:noProof/>
            <w:webHidden/>
          </w:rPr>
          <w:t>5</w:t>
        </w:r>
        <w:r w:rsidR="00D57233">
          <w:rPr>
            <w:noProof/>
            <w:webHidden/>
          </w:rPr>
          <w:fldChar w:fldCharType="end"/>
        </w:r>
      </w:hyperlink>
    </w:p>
    <w:p w14:paraId="05965B07" w14:textId="644ECD5C" w:rsidR="00D57233" w:rsidRDefault="0074532A">
      <w:pPr>
        <w:pStyle w:val="TOC1"/>
        <w:tabs>
          <w:tab w:val="right" w:leader="dot" w:pos="13948"/>
        </w:tabs>
        <w:rPr>
          <w:rFonts w:eastAsiaTheme="minorEastAsia"/>
          <w:noProof/>
          <w:kern w:val="2"/>
          <w:lang w:eastAsia="en-GB"/>
          <w14:ligatures w14:val="standardContextual"/>
        </w:rPr>
      </w:pPr>
      <w:hyperlink w:anchor="_Toc183025729" w:history="1">
        <w:r w:rsidR="00D57233" w:rsidRPr="00046CEF">
          <w:rPr>
            <w:rStyle w:val="Hyperlink"/>
            <w:rFonts w:ascii="Arial" w:hAnsi="Arial" w:cs="Arial"/>
            <w:noProof/>
          </w:rPr>
          <w:t>PRESSURE AREA CARE</w:t>
        </w:r>
        <w:r w:rsidR="00D57233">
          <w:rPr>
            <w:noProof/>
            <w:webHidden/>
          </w:rPr>
          <w:tab/>
        </w:r>
        <w:r w:rsidR="00D57233">
          <w:rPr>
            <w:noProof/>
            <w:webHidden/>
          </w:rPr>
          <w:fldChar w:fldCharType="begin"/>
        </w:r>
        <w:r w:rsidR="00D57233">
          <w:rPr>
            <w:noProof/>
            <w:webHidden/>
          </w:rPr>
          <w:instrText xml:space="preserve"> PAGEREF _Toc183025729 \h </w:instrText>
        </w:r>
        <w:r w:rsidR="00D57233">
          <w:rPr>
            <w:noProof/>
            <w:webHidden/>
          </w:rPr>
        </w:r>
        <w:r w:rsidR="00D57233">
          <w:rPr>
            <w:noProof/>
            <w:webHidden/>
          </w:rPr>
          <w:fldChar w:fldCharType="separate"/>
        </w:r>
        <w:r w:rsidR="00D57233">
          <w:rPr>
            <w:noProof/>
            <w:webHidden/>
          </w:rPr>
          <w:t>6</w:t>
        </w:r>
        <w:r w:rsidR="00D57233">
          <w:rPr>
            <w:noProof/>
            <w:webHidden/>
          </w:rPr>
          <w:fldChar w:fldCharType="end"/>
        </w:r>
      </w:hyperlink>
    </w:p>
    <w:p w14:paraId="742ED7EF" w14:textId="060C0962" w:rsidR="00D57233" w:rsidRDefault="0074532A">
      <w:pPr>
        <w:pStyle w:val="TOC1"/>
        <w:tabs>
          <w:tab w:val="right" w:leader="dot" w:pos="13948"/>
        </w:tabs>
        <w:rPr>
          <w:rFonts w:eastAsiaTheme="minorEastAsia"/>
          <w:noProof/>
          <w:kern w:val="2"/>
          <w:lang w:eastAsia="en-GB"/>
          <w14:ligatures w14:val="standardContextual"/>
        </w:rPr>
      </w:pPr>
      <w:hyperlink w:anchor="_Toc183025730" w:history="1">
        <w:r w:rsidR="00D57233" w:rsidRPr="00046CEF">
          <w:rPr>
            <w:rStyle w:val="Hyperlink"/>
            <w:rFonts w:ascii="Arial" w:hAnsi="Arial" w:cs="Arial"/>
            <w:noProof/>
          </w:rPr>
          <w:t>CHOKING INCIDENT</w:t>
        </w:r>
        <w:r w:rsidR="00D57233">
          <w:rPr>
            <w:noProof/>
            <w:webHidden/>
          </w:rPr>
          <w:tab/>
        </w:r>
        <w:r w:rsidR="00D57233">
          <w:rPr>
            <w:noProof/>
            <w:webHidden/>
          </w:rPr>
          <w:fldChar w:fldCharType="begin"/>
        </w:r>
        <w:r w:rsidR="00D57233">
          <w:rPr>
            <w:noProof/>
            <w:webHidden/>
          </w:rPr>
          <w:instrText xml:space="preserve"> PAGEREF _Toc183025730 \h </w:instrText>
        </w:r>
        <w:r w:rsidR="00D57233">
          <w:rPr>
            <w:noProof/>
            <w:webHidden/>
          </w:rPr>
        </w:r>
        <w:r w:rsidR="00D57233">
          <w:rPr>
            <w:noProof/>
            <w:webHidden/>
          </w:rPr>
          <w:fldChar w:fldCharType="separate"/>
        </w:r>
        <w:r w:rsidR="00D57233">
          <w:rPr>
            <w:noProof/>
            <w:webHidden/>
          </w:rPr>
          <w:t>7</w:t>
        </w:r>
        <w:r w:rsidR="00D57233">
          <w:rPr>
            <w:noProof/>
            <w:webHidden/>
          </w:rPr>
          <w:fldChar w:fldCharType="end"/>
        </w:r>
      </w:hyperlink>
    </w:p>
    <w:p w14:paraId="441ED519" w14:textId="67CEC3F9" w:rsidR="00D57233" w:rsidRDefault="0074532A">
      <w:pPr>
        <w:pStyle w:val="TOC1"/>
        <w:tabs>
          <w:tab w:val="right" w:leader="dot" w:pos="13948"/>
        </w:tabs>
        <w:rPr>
          <w:rFonts w:eastAsiaTheme="minorEastAsia"/>
          <w:noProof/>
          <w:kern w:val="2"/>
          <w:lang w:eastAsia="en-GB"/>
          <w14:ligatures w14:val="standardContextual"/>
        </w:rPr>
      </w:pPr>
      <w:hyperlink w:anchor="_Toc183025731" w:history="1">
        <w:r w:rsidR="00D57233" w:rsidRPr="00046CEF">
          <w:rPr>
            <w:rStyle w:val="Hyperlink"/>
            <w:noProof/>
          </w:rPr>
          <w:t>POOR DISCHARGE/TRANSFER OF CARE</w:t>
        </w:r>
        <w:r w:rsidR="00D57233" w:rsidRPr="00046CEF">
          <w:rPr>
            <w:rStyle w:val="Hyperlink"/>
            <w:rFonts w:ascii="Arial" w:hAnsi="Arial" w:cs="Arial"/>
            <w:b/>
            <w:noProof/>
          </w:rPr>
          <w:t xml:space="preserve"> </w:t>
        </w:r>
        <w:r w:rsidR="00D57233" w:rsidRPr="00046CEF">
          <w:rPr>
            <w:rStyle w:val="Hyperlink"/>
            <w:rFonts w:ascii="Arial" w:hAnsi="Arial" w:cs="Arial"/>
            <w:bCs/>
            <w:noProof/>
          </w:rPr>
          <w:t>from setting to setting i.e. Hospital to care home, care home to care home)</w:t>
        </w:r>
        <w:r w:rsidR="00D57233">
          <w:rPr>
            <w:noProof/>
            <w:webHidden/>
          </w:rPr>
          <w:tab/>
        </w:r>
        <w:r w:rsidR="00D57233">
          <w:rPr>
            <w:noProof/>
            <w:webHidden/>
          </w:rPr>
          <w:fldChar w:fldCharType="begin"/>
        </w:r>
        <w:r w:rsidR="00D57233">
          <w:rPr>
            <w:noProof/>
            <w:webHidden/>
          </w:rPr>
          <w:instrText xml:space="preserve"> PAGEREF _Toc183025731 \h </w:instrText>
        </w:r>
        <w:r w:rsidR="00D57233">
          <w:rPr>
            <w:noProof/>
            <w:webHidden/>
          </w:rPr>
        </w:r>
        <w:r w:rsidR="00D57233">
          <w:rPr>
            <w:noProof/>
            <w:webHidden/>
          </w:rPr>
          <w:fldChar w:fldCharType="separate"/>
        </w:r>
        <w:r w:rsidR="00D57233">
          <w:rPr>
            <w:noProof/>
            <w:webHidden/>
          </w:rPr>
          <w:t>7</w:t>
        </w:r>
        <w:r w:rsidR="00D57233">
          <w:rPr>
            <w:noProof/>
            <w:webHidden/>
          </w:rPr>
          <w:fldChar w:fldCharType="end"/>
        </w:r>
      </w:hyperlink>
    </w:p>
    <w:p w14:paraId="6DE201DC" w14:textId="0412518C" w:rsidR="00D57233" w:rsidRDefault="0074532A">
      <w:pPr>
        <w:pStyle w:val="TOC1"/>
        <w:tabs>
          <w:tab w:val="right" w:leader="dot" w:pos="13948"/>
        </w:tabs>
        <w:rPr>
          <w:rFonts w:eastAsiaTheme="minorEastAsia"/>
          <w:noProof/>
          <w:kern w:val="2"/>
          <w:lang w:eastAsia="en-GB"/>
          <w14:ligatures w14:val="standardContextual"/>
        </w:rPr>
      </w:pPr>
      <w:hyperlink w:anchor="_Toc183025732" w:history="1">
        <w:r w:rsidR="00D57233" w:rsidRPr="00046CEF">
          <w:rPr>
            <w:rStyle w:val="Hyperlink"/>
            <w:rFonts w:ascii="Arial" w:hAnsi="Arial" w:cs="Arial"/>
            <w:noProof/>
          </w:rPr>
          <w:t>FINANCIAL AND MATERIAL</w:t>
        </w:r>
        <w:r w:rsidR="00D57233">
          <w:rPr>
            <w:noProof/>
            <w:webHidden/>
          </w:rPr>
          <w:tab/>
        </w:r>
        <w:r w:rsidR="00D57233">
          <w:rPr>
            <w:noProof/>
            <w:webHidden/>
          </w:rPr>
          <w:fldChar w:fldCharType="begin"/>
        </w:r>
        <w:r w:rsidR="00D57233">
          <w:rPr>
            <w:noProof/>
            <w:webHidden/>
          </w:rPr>
          <w:instrText xml:space="preserve"> PAGEREF _Toc183025732 \h </w:instrText>
        </w:r>
        <w:r w:rsidR="00D57233">
          <w:rPr>
            <w:noProof/>
            <w:webHidden/>
          </w:rPr>
        </w:r>
        <w:r w:rsidR="00D57233">
          <w:rPr>
            <w:noProof/>
            <w:webHidden/>
          </w:rPr>
          <w:fldChar w:fldCharType="separate"/>
        </w:r>
        <w:r w:rsidR="00D57233">
          <w:rPr>
            <w:noProof/>
            <w:webHidden/>
          </w:rPr>
          <w:t>8</w:t>
        </w:r>
        <w:r w:rsidR="00D57233">
          <w:rPr>
            <w:noProof/>
            <w:webHidden/>
          </w:rPr>
          <w:fldChar w:fldCharType="end"/>
        </w:r>
      </w:hyperlink>
    </w:p>
    <w:p w14:paraId="126E56B3" w14:textId="10D23CB4" w:rsidR="00D57233" w:rsidRDefault="0074532A">
      <w:pPr>
        <w:pStyle w:val="TOC1"/>
        <w:tabs>
          <w:tab w:val="right" w:leader="dot" w:pos="13948"/>
        </w:tabs>
        <w:rPr>
          <w:rFonts w:eastAsiaTheme="minorEastAsia"/>
          <w:noProof/>
          <w:kern w:val="2"/>
          <w:lang w:eastAsia="en-GB"/>
          <w14:ligatures w14:val="standardContextual"/>
        </w:rPr>
      </w:pPr>
      <w:hyperlink w:anchor="_Toc183025733" w:history="1">
        <w:r w:rsidR="00D57233" w:rsidRPr="00046CEF">
          <w:rPr>
            <w:rStyle w:val="Hyperlink"/>
            <w:rFonts w:ascii="Arial" w:hAnsi="Arial" w:cs="Arial"/>
            <w:noProof/>
          </w:rPr>
          <w:t>ENVIRONMENTAL (within a care home or non-regulated activity such as, day support service)</w:t>
        </w:r>
        <w:r w:rsidR="00D57233">
          <w:rPr>
            <w:noProof/>
            <w:webHidden/>
          </w:rPr>
          <w:tab/>
        </w:r>
        <w:r w:rsidR="00D57233">
          <w:rPr>
            <w:noProof/>
            <w:webHidden/>
          </w:rPr>
          <w:fldChar w:fldCharType="begin"/>
        </w:r>
        <w:r w:rsidR="00D57233">
          <w:rPr>
            <w:noProof/>
            <w:webHidden/>
          </w:rPr>
          <w:instrText xml:space="preserve"> PAGEREF _Toc183025733 \h </w:instrText>
        </w:r>
        <w:r w:rsidR="00D57233">
          <w:rPr>
            <w:noProof/>
            <w:webHidden/>
          </w:rPr>
        </w:r>
        <w:r w:rsidR="00D57233">
          <w:rPr>
            <w:noProof/>
            <w:webHidden/>
          </w:rPr>
          <w:fldChar w:fldCharType="separate"/>
        </w:r>
        <w:r w:rsidR="00D57233">
          <w:rPr>
            <w:noProof/>
            <w:webHidden/>
          </w:rPr>
          <w:t>8</w:t>
        </w:r>
        <w:r w:rsidR="00D57233">
          <w:rPr>
            <w:noProof/>
            <w:webHidden/>
          </w:rPr>
          <w:fldChar w:fldCharType="end"/>
        </w:r>
      </w:hyperlink>
    </w:p>
    <w:p w14:paraId="2E00DB95" w14:textId="44EE1CC6" w:rsidR="00D57233" w:rsidRDefault="0074532A">
      <w:pPr>
        <w:pStyle w:val="TOC1"/>
        <w:tabs>
          <w:tab w:val="right" w:leader="dot" w:pos="13948"/>
        </w:tabs>
        <w:rPr>
          <w:rFonts w:eastAsiaTheme="minorEastAsia"/>
          <w:noProof/>
          <w:kern w:val="2"/>
          <w:lang w:eastAsia="en-GB"/>
          <w14:ligatures w14:val="standardContextual"/>
        </w:rPr>
      </w:pPr>
      <w:hyperlink w:anchor="_Toc183025734" w:history="1">
        <w:r w:rsidR="00D57233" w:rsidRPr="00046CEF">
          <w:rPr>
            <w:rStyle w:val="Hyperlink"/>
            <w:rFonts w:ascii="Arial" w:hAnsi="Arial" w:cs="Arial"/>
            <w:noProof/>
          </w:rPr>
          <w:t>ACCIDENT(S) INCIDENT(S)/SERIOUS INCIDENT(S)</w:t>
        </w:r>
        <w:r w:rsidR="00D57233">
          <w:rPr>
            <w:noProof/>
            <w:webHidden/>
          </w:rPr>
          <w:tab/>
        </w:r>
        <w:r w:rsidR="00D57233">
          <w:rPr>
            <w:noProof/>
            <w:webHidden/>
          </w:rPr>
          <w:fldChar w:fldCharType="begin"/>
        </w:r>
        <w:r w:rsidR="00D57233">
          <w:rPr>
            <w:noProof/>
            <w:webHidden/>
          </w:rPr>
          <w:instrText xml:space="preserve"> PAGEREF _Toc183025734 \h </w:instrText>
        </w:r>
        <w:r w:rsidR="00D57233">
          <w:rPr>
            <w:noProof/>
            <w:webHidden/>
          </w:rPr>
        </w:r>
        <w:r w:rsidR="00D57233">
          <w:rPr>
            <w:noProof/>
            <w:webHidden/>
          </w:rPr>
          <w:fldChar w:fldCharType="separate"/>
        </w:r>
        <w:r w:rsidR="00D57233">
          <w:rPr>
            <w:noProof/>
            <w:webHidden/>
          </w:rPr>
          <w:t>9</w:t>
        </w:r>
        <w:r w:rsidR="00D57233">
          <w:rPr>
            <w:noProof/>
            <w:webHidden/>
          </w:rPr>
          <w:fldChar w:fldCharType="end"/>
        </w:r>
      </w:hyperlink>
    </w:p>
    <w:p w14:paraId="40515C88" w14:textId="71F4B2B3" w:rsidR="002E0721" w:rsidRDefault="002E0721" w:rsidP="00E15550">
      <w:pPr>
        <w:pStyle w:val="Default"/>
        <w:jc w:val="both"/>
      </w:pPr>
      <w:r w:rsidRPr="005B78A7">
        <w:fldChar w:fldCharType="end"/>
      </w:r>
    </w:p>
    <w:p w14:paraId="2D4FFEF5" w14:textId="77777777" w:rsidR="00D57233" w:rsidRDefault="00D57233" w:rsidP="00E15550">
      <w:pPr>
        <w:pStyle w:val="Default"/>
        <w:jc w:val="both"/>
      </w:pPr>
    </w:p>
    <w:p w14:paraId="346538B2" w14:textId="77777777" w:rsidR="00D57233" w:rsidRDefault="00D57233" w:rsidP="00E15550">
      <w:pPr>
        <w:pStyle w:val="Default"/>
        <w:jc w:val="both"/>
      </w:pPr>
    </w:p>
    <w:p w14:paraId="7C33AC67" w14:textId="77777777" w:rsidR="00D57233" w:rsidRDefault="00D57233" w:rsidP="00E15550">
      <w:pPr>
        <w:pStyle w:val="Default"/>
        <w:jc w:val="both"/>
      </w:pPr>
    </w:p>
    <w:p w14:paraId="2AD1AC79" w14:textId="77777777" w:rsidR="00D57233" w:rsidRDefault="00D57233" w:rsidP="00E15550">
      <w:pPr>
        <w:pStyle w:val="Default"/>
        <w:jc w:val="both"/>
      </w:pPr>
    </w:p>
    <w:p w14:paraId="4CBDC51E" w14:textId="77777777" w:rsidR="00D57233" w:rsidRDefault="00D57233" w:rsidP="00E15550">
      <w:pPr>
        <w:pStyle w:val="Default"/>
        <w:jc w:val="both"/>
      </w:pPr>
    </w:p>
    <w:p w14:paraId="5B6998A6" w14:textId="77777777" w:rsidR="00D57233" w:rsidRDefault="00D57233" w:rsidP="00E15550">
      <w:pPr>
        <w:pStyle w:val="Default"/>
        <w:jc w:val="both"/>
      </w:pPr>
    </w:p>
    <w:p w14:paraId="3543DE73" w14:textId="77777777" w:rsidR="00D57233" w:rsidRPr="005B78A7" w:rsidRDefault="00D57233" w:rsidP="00E15550">
      <w:pPr>
        <w:pStyle w:val="Default"/>
        <w:jc w:val="both"/>
      </w:pPr>
    </w:p>
    <w:p w14:paraId="1667F3B6" w14:textId="77777777" w:rsidR="002E0721" w:rsidRPr="005B78A7" w:rsidRDefault="002E0721" w:rsidP="00E15550">
      <w:pPr>
        <w:pStyle w:val="Default"/>
        <w:jc w:val="both"/>
      </w:pPr>
    </w:p>
    <w:p w14:paraId="392CC718" w14:textId="2BA629EF" w:rsidR="002E0721" w:rsidRPr="00D57233" w:rsidRDefault="005D0D5C" w:rsidP="00D57233">
      <w:pPr>
        <w:pStyle w:val="Heading1"/>
        <w:rPr>
          <w:rFonts w:ascii="Arial" w:hAnsi="Arial" w:cs="Arial"/>
          <w:sz w:val="24"/>
          <w:szCs w:val="24"/>
        </w:rPr>
      </w:pPr>
      <w:bookmarkStart w:id="0" w:name="_Toc183025722"/>
      <w:r w:rsidRPr="00D57233">
        <w:rPr>
          <w:rFonts w:ascii="Arial" w:hAnsi="Arial" w:cs="Arial"/>
          <w:sz w:val="24"/>
          <w:szCs w:val="24"/>
          <w:highlight w:val="lightGray"/>
        </w:rPr>
        <w:lastRenderedPageBreak/>
        <w:t>I</w:t>
      </w:r>
      <w:r w:rsidR="00634AC4" w:rsidRPr="00D57233">
        <w:rPr>
          <w:rFonts w:ascii="Arial" w:hAnsi="Arial" w:cs="Arial"/>
          <w:sz w:val="24"/>
          <w:szCs w:val="24"/>
          <w:highlight w:val="lightGray"/>
        </w:rPr>
        <w:t>NTRODUCTION</w:t>
      </w:r>
      <w:bookmarkEnd w:id="0"/>
    </w:p>
    <w:p w14:paraId="5FC3D16A" w14:textId="6A17A32C" w:rsidR="00E15550" w:rsidRPr="0030743B" w:rsidRDefault="00E15550" w:rsidP="00E15550">
      <w:pPr>
        <w:pStyle w:val="Default"/>
        <w:jc w:val="both"/>
      </w:pPr>
      <w:r w:rsidRPr="0030743B">
        <w:t xml:space="preserve">Providers carrying out a Regulated </w:t>
      </w:r>
      <w:r w:rsidR="000D5E6A" w:rsidRPr="0030743B">
        <w:t>S</w:t>
      </w:r>
      <w:r w:rsidRPr="0030743B">
        <w:t>ervice/</w:t>
      </w:r>
      <w:r w:rsidR="000D5E6A" w:rsidRPr="0030743B">
        <w:t>A</w:t>
      </w:r>
      <w:r w:rsidRPr="0030743B">
        <w:t>ctivity</w:t>
      </w:r>
      <w:r w:rsidR="000D5E6A" w:rsidRPr="0030743B">
        <w:t xml:space="preserve"> or </w:t>
      </w:r>
      <w:r w:rsidR="0010220D" w:rsidRPr="0030743B">
        <w:t>N</w:t>
      </w:r>
      <w:r w:rsidR="00DB2C8A" w:rsidRPr="0030743B">
        <w:t>on-</w:t>
      </w:r>
      <w:r w:rsidR="0010220D" w:rsidRPr="0030743B">
        <w:t>R</w:t>
      </w:r>
      <w:r w:rsidR="000D5E6A" w:rsidRPr="0030743B">
        <w:t xml:space="preserve">egulated </w:t>
      </w:r>
      <w:r w:rsidR="0010220D" w:rsidRPr="0030743B">
        <w:t>A</w:t>
      </w:r>
      <w:r w:rsidR="000D5E6A" w:rsidRPr="0030743B">
        <w:t xml:space="preserve">ctivity such as, </w:t>
      </w:r>
      <w:r w:rsidR="0010220D" w:rsidRPr="0030743B">
        <w:t>D</w:t>
      </w:r>
      <w:r w:rsidR="000D5E6A" w:rsidRPr="0030743B">
        <w:t xml:space="preserve">ay </w:t>
      </w:r>
      <w:r w:rsidR="0010220D" w:rsidRPr="0030743B">
        <w:t>S</w:t>
      </w:r>
      <w:r w:rsidR="000D5E6A" w:rsidRPr="0030743B">
        <w:t xml:space="preserve">upport </w:t>
      </w:r>
      <w:r w:rsidR="0010220D" w:rsidRPr="0030743B">
        <w:t>S</w:t>
      </w:r>
      <w:r w:rsidR="000D5E6A" w:rsidRPr="0030743B">
        <w:t>ervice</w:t>
      </w:r>
      <w:r w:rsidR="00F36ED2" w:rsidRPr="0030743B">
        <w:t>,</w:t>
      </w:r>
      <w:r w:rsidR="000D5E6A" w:rsidRPr="0030743B">
        <w:t xml:space="preserve"> are </w:t>
      </w:r>
      <w:r w:rsidRPr="0030743B">
        <w:t>require</w:t>
      </w:r>
      <w:r w:rsidR="000D5E6A" w:rsidRPr="0030743B">
        <w:t xml:space="preserve">d to notify </w:t>
      </w:r>
      <w:r w:rsidR="007A09B6" w:rsidRPr="0030743B">
        <w:t>Nottinghamshire County Council</w:t>
      </w:r>
      <w:r w:rsidR="00337003" w:rsidRPr="0030743B">
        <w:t xml:space="preserve"> </w:t>
      </w:r>
      <w:r w:rsidR="002F333D" w:rsidRPr="0030743B">
        <w:t>and</w:t>
      </w:r>
      <w:r w:rsidR="00F85482">
        <w:t xml:space="preserve"> the Quality</w:t>
      </w:r>
      <w:r w:rsidR="007A09B6" w:rsidRPr="0030743B">
        <w:t xml:space="preserve"> Market Management</w:t>
      </w:r>
      <w:r w:rsidRPr="0030743B">
        <w:t xml:space="preserve"> Team</w:t>
      </w:r>
      <w:r w:rsidR="007A09B6" w:rsidRPr="0030743B">
        <w:t xml:space="preserve"> (</w:t>
      </w:r>
      <w:r w:rsidR="0026348A" w:rsidRPr="0030743B">
        <w:t xml:space="preserve">NCC </w:t>
      </w:r>
      <w:r w:rsidR="007A09B6" w:rsidRPr="0030743B">
        <w:t>QMMT)</w:t>
      </w:r>
      <w:r w:rsidR="00E77D27" w:rsidRPr="0030743B">
        <w:t xml:space="preserve"> of incidents</w:t>
      </w:r>
      <w:r w:rsidRPr="0030743B">
        <w:t xml:space="preserve"> </w:t>
      </w:r>
      <w:r w:rsidR="00F36ED2" w:rsidRPr="0030743B">
        <w:t>by completing a</w:t>
      </w:r>
      <w:r w:rsidR="007A09B6" w:rsidRPr="0030743B">
        <w:t xml:space="preserve"> </w:t>
      </w:r>
      <w:r w:rsidR="00BC57E0" w:rsidRPr="0030743B">
        <w:t>Non-Safeguarding Notific</w:t>
      </w:r>
      <w:r w:rsidR="00A91FB0" w:rsidRPr="0030743B">
        <w:t>ation Form (NSNF)</w:t>
      </w:r>
    </w:p>
    <w:p w14:paraId="079108EA" w14:textId="77777777" w:rsidR="0030743B" w:rsidRPr="0030743B" w:rsidRDefault="0030743B" w:rsidP="00E15550">
      <w:pPr>
        <w:pStyle w:val="Default"/>
        <w:jc w:val="both"/>
      </w:pPr>
    </w:p>
    <w:p w14:paraId="231B4C3A" w14:textId="0469BBC8" w:rsidR="00B22DBA" w:rsidRDefault="0074532A" w:rsidP="00A70EDC">
      <w:pPr>
        <w:pStyle w:val="Default"/>
        <w:jc w:val="both"/>
        <w:rPr>
          <w:highlight w:val="yellow"/>
        </w:rPr>
      </w:pPr>
      <w:hyperlink r:id="rId12" w:history="1">
        <w:hyperlink r:id="rId13" w:history="1">
          <w:r w:rsidR="0030743B">
            <w:rPr>
              <w:rStyle w:val="Hyperlink"/>
            </w:rPr>
            <w:t>Non- Safeguarding Notification Form NCC</w:t>
          </w:r>
        </w:hyperlink>
      </w:hyperlink>
    </w:p>
    <w:p w14:paraId="58F3E71E" w14:textId="77777777" w:rsidR="0030743B" w:rsidRDefault="0030743B" w:rsidP="00A70EDC">
      <w:pPr>
        <w:pStyle w:val="Default"/>
        <w:jc w:val="both"/>
        <w:rPr>
          <w:highlight w:val="yellow"/>
        </w:rPr>
      </w:pPr>
    </w:p>
    <w:p w14:paraId="40FBAFA0" w14:textId="77777777" w:rsidR="00994390" w:rsidRDefault="00994390" w:rsidP="00994390">
      <w:pPr>
        <w:pStyle w:val="Default"/>
        <w:jc w:val="both"/>
      </w:pPr>
      <w:r>
        <w:t>This guidance tool will help providers who deliver regulated activity such as: home care, day care, support living, residential and nursing care, to decide when to notify Nottinghamshire Adult Social Care of any non-safeguarding incidents.</w:t>
      </w:r>
    </w:p>
    <w:p w14:paraId="3D494763" w14:textId="77777777" w:rsidR="007229E0" w:rsidRDefault="00994390" w:rsidP="00994390">
      <w:pPr>
        <w:pStyle w:val="Default"/>
        <w:jc w:val="both"/>
      </w:pPr>
      <w:r>
        <w:t>The guidance includes a ‘Non-safeguarding Notification’ referral which should be used and sent to Nottinghamshire Quality and Market Management Team who will consider the information</w:t>
      </w:r>
      <w:r w:rsidR="007229E0">
        <w:t xml:space="preserve"> and record appropriately.</w:t>
      </w:r>
    </w:p>
    <w:p w14:paraId="128D6684" w14:textId="510B65B2" w:rsidR="00994390" w:rsidRDefault="00994390" w:rsidP="00994390">
      <w:pPr>
        <w:pStyle w:val="Default"/>
        <w:jc w:val="both"/>
      </w:pPr>
      <w:r>
        <w:t xml:space="preserve"> </w:t>
      </w:r>
    </w:p>
    <w:p w14:paraId="1B68CA75" w14:textId="32EB0C64" w:rsidR="00CD7CB3" w:rsidRPr="00B5464E" w:rsidRDefault="00994390" w:rsidP="00CD7CB3">
      <w:pPr>
        <w:pStyle w:val="Default"/>
        <w:jc w:val="both"/>
      </w:pPr>
      <w:r>
        <w:t>This guidance does not replace the duty to report any abuse or neglect to Nottinghamshire’s Multi Agency Safeguarding Hub (MASH) but aims to reduce the number of non-safeguarding referrals being sent to the MASH.</w:t>
      </w:r>
      <w:r w:rsidR="002912B7">
        <w:t xml:space="preserve"> </w:t>
      </w:r>
      <w:r w:rsidR="00D02F8A" w:rsidRPr="0030743B">
        <w:t>This</w:t>
      </w:r>
      <w:r w:rsidR="00A14BD8" w:rsidRPr="0030743B">
        <w:t xml:space="preserve"> </w:t>
      </w:r>
      <w:r w:rsidR="00A91FB0" w:rsidRPr="0030743B">
        <w:t xml:space="preserve">Non-Safeguarding Notification </w:t>
      </w:r>
      <w:r w:rsidR="007A09B6" w:rsidRPr="0030743B">
        <w:t>Form</w:t>
      </w:r>
      <w:r w:rsidR="00A14BD8" w:rsidRPr="0030743B">
        <w:t xml:space="preserve"> Guidance</w:t>
      </w:r>
      <w:r w:rsidR="0010220D" w:rsidRPr="0030743B">
        <w:t xml:space="preserve"> T</w:t>
      </w:r>
      <w:r w:rsidR="00D02F8A" w:rsidRPr="0030743B">
        <w:t>ool i</w:t>
      </w:r>
      <w:r w:rsidR="00A14BD8" w:rsidRPr="0030743B">
        <w:t xml:space="preserve">s to aid decision making about when to report an </w:t>
      </w:r>
      <w:r w:rsidR="00CD7CB3" w:rsidRPr="0030743B">
        <w:t>incident as</w:t>
      </w:r>
      <w:r w:rsidR="00A14BD8" w:rsidRPr="0030743B">
        <w:t xml:space="preserve"> a </w:t>
      </w:r>
      <w:r w:rsidR="00EB6F47" w:rsidRPr="0030743B">
        <w:t>r</w:t>
      </w:r>
      <w:r w:rsidR="00A14BD8" w:rsidRPr="0030743B">
        <w:t xml:space="preserve">isk </w:t>
      </w:r>
      <w:r w:rsidR="00EB6F47" w:rsidRPr="0030743B">
        <w:t>n</w:t>
      </w:r>
      <w:r w:rsidR="00A14BD8" w:rsidRPr="0030743B">
        <w:t>otification or</w:t>
      </w:r>
      <w:r w:rsidR="00CD7CB3" w:rsidRPr="0030743B">
        <w:t xml:space="preserve"> when to raise a </w:t>
      </w:r>
      <w:r w:rsidR="00A14BD8" w:rsidRPr="0030743B">
        <w:t>safeguarding co</w:t>
      </w:r>
      <w:r w:rsidR="00CD7CB3" w:rsidRPr="0030743B">
        <w:t>ncern. Areas covered, include the following:</w:t>
      </w:r>
      <w:r w:rsidR="00CD7CB3" w:rsidRPr="00B5464E">
        <w:t xml:space="preserve"> </w:t>
      </w:r>
    </w:p>
    <w:p w14:paraId="3BE8666C" w14:textId="77777777" w:rsidR="00CD7CB3" w:rsidRPr="00B5464E" w:rsidRDefault="00CD7CB3" w:rsidP="00CD7CB3">
      <w:pPr>
        <w:pStyle w:val="Default"/>
        <w:jc w:val="both"/>
      </w:pPr>
    </w:p>
    <w:p w14:paraId="1E2BB609" w14:textId="77777777" w:rsidR="00CD7CB3" w:rsidRPr="00B5464E" w:rsidRDefault="00CD7CB3" w:rsidP="00CD7CB3">
      <w:pPr>
        <w:pStyle w:val="Default"/>
        <w:numPr>
          <w:ilvl w:val="0"/>
          <w:numId w:val="28"/>
        </w:numPr>
        <w:jc w:val="both"/>
        <w:rPr>
          <w:b/>
        </w:rPr>
      </w:pPr>
      <w:r w:rsidRPr="00B5464E">
        <w:rPr>
          <w:b/>
        </w:rPr>
        <w:t xml:space="preserve">Falls </w:t>
      </w:r>
    </w:p>
    <w:p w14:paraId="0DF32E58" w14:textId="7B6857CB" w:rsidR="00CD7CB3" w:rsidRPr="00B5464E" w:rsidRDefault="00A51882" w:rsidP="00CD7CB3">
      <w:pPr>
        <w:pStyle w:val="Default"/>
        <w:numPr>
          <w:ilvl w:val="0"/>
          <w:numId w:val="28"/>
        </w:numPr>
        <w:jc w:val="both"/>
        <w:rPr>
          <w:b/>
        </w:rPr>
      </w:pPr>
      <w:r w:rsidRPr="00B5464E">
        <w:rPr>
          <w:b/>
        </w:rPr>
        <w:t>Peer on peer incident</w:t>
      </w:r>
      <w:r w:rsidR="00CD7CB3" w:rsidRPr="00B5464E">
        <w:rPr>
          <w:b/>
        </w:rPr>
        <w:t xml:space="preserve"> </w:t>
      </w:r>
    </w:p>
    <w:p w14:paraId="4545ACDA" w14:textId="12F9AB0B" w:rsidR="00CD7CB3" w:rsidRPr="00B5464E" w:rsidRDefault="00752165" w:rsidP="00CD7CB3">
      <w:pPr>
        <w:pStyle w:val="Default"/>
        <w:numPr>
          <w:ilvl w:val="0"/>
          <w:numId w:val="28"/>
        </w:numPr>
        <w:jc w:val="both"/>
        <w:rPr>
          <w:b/>
        </w:rPr>
      </w:pPr>
      <w:r w:rsidRPr="00B5464E">
        <w:rPr>
          <w:b/>
        </w:rPr>
        <w:t xml:space="preserve">Risk or near miss linked to dietary </w:t>
      </w:r>
      <w:r w:rsidR="00A91FB0" w:rsidRPr="00B5464E">
        <w:rPr>
          <w:b/>
        </w:rPr>
        <w:t>requirements.</w:t>
      </w:r>
      <w:r w:rsidR="00CD7CB3" w:rsidRPr="00B5464E">
        <w:rPr>
          <w:b/>
        </w:rPr>
        <w:t xml:space="preserve"> </w:t>
      </w:r>
    </w:p>
    <w:p w14:paraId="1D04FA98" w14:textId="766C8DA3" w:rsidR="00CD7CB3" w:rsidRPr="00B5464E" w:rsidRDefault="0062462F" w:rsidP="00CD7CB3">
      <w:pPr>
        <w:pStyle w:val="Default"/>
        <w:numPr>
          <w:ilvl w:val="0"/>
          <w:numId w:val="28"/>
        </w:numPr>
        <w:jc w:val="both"/>
        <w:rPr>
          <w:b/>
        </w:rPr>
      </w:pPr>
      <w:r w:rsidRPr="00B5464E">
        <w:rPr>
          <w:b/>
        </w:rPr>
        <w:t>Medication management</w:t>
      </w:r>
    </w:p>
    <w:p w14:paraId="630E5310" w14:textId="0594C5C8" w:rsidR="00CD7CB3" w:rsidRPr="00B5464E" w:rsidRDefault="0062462F" w:rsidP="00CD7CB3">
      <w:pPr>
        <w:pStyle w:val="Default"/>
        <w:numPr>
          <w:ilvl w:val="0"/>
          <w:numId w:val="28"/>
        </w:numPr>
        <w:jc w:val="both"/>
        <w:rPr>
          <w:b/>
        </w:rPr>
      </w:pPr>
      <w:r w:rsidRPr="00B5464E">
        <w:rPr>
          <w:b/>
        </w:rPr>
        <w:t xml:space="preserve">Missed </w:t>
      </w:r>
      <w:r w:rsidR="00634AC4" w:rsidRPr="00B5464E">
        <w:rPr>
          <w:b/>
        </w:rPr>
        <w:t>visit.</w:t>
      </w:r>
    </w:p>
    <w:p w14:paraId="7ADD5756" w14:textId="77777777" w:rsidR="00CD7CB3" w:rsidRPr="00B5464E" w:rsidRDefault="00CD7CB3" w:rsidP="00CD7CB3">
      <w:pPr>
        <w:pStyle w:val="Default"/>
        <w:numPr>
          <w:ilvl w:val="0"/>
          <w:numId w:val="28"/>
        </w:numPr>
        <w:jc w:val="both"/>
        <w:rPr>
          <w:b/>
        </w:rPr>
      </w:pPr>
      <w:r w:rsidRPr="00B5464E">
        <w:rPr>
          <w:b/>
        </w:rPr>
        <w:t xml:space="preserve">Moving and handling </w:t>
      </w:r>
    </w:p>
    <w:p w14:paraId="186C6C51" w14:textId="4046C5F7" w:rsidR="00CD7CB3" w:rsidRPr="00B5464E" w:rsidRDefault="00620C33" w:rsidP="00CD7CB3">
      <w:pPr>
        <w:pStyle w:val="Default"/>
        <w:numPr>
          <w:ilvl w:val="0"/>
          <w:numId w:val="28"/>
        </w:numPr>
        <w:jc w:val="both"/>
        <w:rPr>
          <w:b/>
        </w:rPr>
      </w:pPr>
      <w:r w:rsidRPr="00B5464E">
        <w:rPr>
          <w:b/>
        </w:rPr>
        <w:t xml:space="preserve">Pressure </w:t>
      </w:r>
      <w:r w:rsidR="00634AC4" w:rsidRPr="00B5464E">
        <w:rPr>
          <w:b/>
        </w:rPr>
        <w:t>damage.</w:t>
      </w:r>
      <w:r w:rsidR="00CD7CB3" w:rsidRPr="00B5464E">
        <w:rPr>
          <w:b/>
        </w:rPr>
        <w:t xml:space="preserve"> </w:t>
      </w:r>
    </w:p>
    <w:p w14:paraId="12840C76" w14:textId="33A3C7DD" w:rsidR="00CD7CB3" w:rsidRPr="00B5464E" w:rsidRDefault="00620C33" w:rsidP="00CD7CB3">
      <w:pPr>
        <w:pStyle w:val="Default"/>
        <w:numPr>
          <w:ilvl w:val="0"/>
          <w:numId w:val="28"/>
        </w:numPr>
        <w:jc w:val="both"/>
        <w:rPr>
          <w:b/>
        </w:rPr>
      </w:pPr>
      <w:r w:rsidRPr="00B5464E">
        <w:rPr>
          <w:b/>
        </w:rPr>
        <w:t>Bullying</w:t>
      </w:r>
    </w:p>
    <w:p w14:paraId="5006D17E" w14:textId="77777777" w:rsidR="00F66FBE" w:rsidRPr="00B5464E" w:rsidRDefault="00620C33" w:rsidP="00CD7CB3">
      <w:pPr>
        <w:pStyle w:val="Default"/>
        <w:numPr>
          <w:ilvl w:val="0"/>
          <w:numId w:val="28"/>
        </w:numPr>
        <w:jc w:val="both"/>
        <w:rPr>
          <w:b/>
        </w:rPr>
      </w:pPr>
      <w:r w:rsidRPr="00B5464E">
        <w:rPr>
          <w:b/>
        </w:rPr>
        <w:t>Poor care</w:t>
      </w:r>
      <w:r w:rsidR="00F66FBE" w:rsidRPr="00B5464E">
        <w:rPr>
          <w:b/>
        </w:rPr>
        <w:t xml:space="preserve"> delivery</w:t>
      </w:r>
    </w:p>
    <w:p w14:paraId="260EB07D" w14:textId="77777777" w:rsidR="00357DA4" w:rsidRPr="00B5464E" w:rsidRDefault="00F66FBE" w:rsidP="00CD7CB3">
      <w:pPr>
        <w:pStyle w:val="Default"/>
        <w:numPr>
          <w:ilvl w:val="0"/>
          <w:numId w:val="28"/>
        </w:numPr>
        <w:jc w:val="both"/>
        <w:rPr>
          <w:b/>
        </w:rPr>
      </w:pPr>
      <w:r w:rsidRPr="00B5464E">
        <w:rPr>
          <w:b/>
        </w:rPr>
        <w:t>Staffing and deployment</w:t>
      </w:r>
    </w:p>
    <w:p w14:paraId="50722595" w14:textId="77777777" w:rsidR="00357DA4" w:rsidRPr="00B5464E" w:rsidRDefault="00357DA4" w:rsidP="00CD7CB3">
      <w:pPr>
        <w:pStyle w:val="Default"/>
        <w:numPr>
          <w:ilvl w:val="0"/>
          <w:numId w:val="28"/>
        </w:numPr>
        <w:jc w:val="both"/>
        <w:rPr>
          <w:b/>
        </w:rPr>
      </w:pPr>
      <w:r w:rsidRPr="00B5464E">
        <w:rPr>
          <w:b/>
        </w:rPr>
        <w:t>Not recognising a deteriorating patient</w:t>
      </w:r>
    </w:p>
    <w:p w14:paraId="3CE65AC3" w14:textId="77777777" w:rsidR="00357DA4" w:rsidRPr="00B5464E" w:rsidRDefault="00357DA4" w:rsidP="00CD7CB3">
      <w:pPr>
        <w:pStyle w:val="Default"/>
        <w:numPr>
          <w:ilvl w:val="0"/>
          <w:numId w:val="28"/>
        </w:numPr>
        <w:jc w:val="both"/>
        <w:rPr>
          <w:b/>
        </w:rPr>
      </w:pPr>
      <w:r w:rsidRPr="00B5464E">
        <w:rPr>
          <w:b/>
        </w:rPr>
        <w:t>Poor communication</w:t>
      </w:r>
    </w:p>
    <w:p w14:paraId="60EFF31B" w14:textId="77777777" w:rsidR="00306BD9" w:rsidRPr="00B5464E" w:rsidRDefault="00357DA4" w:rsidP="00CD7CB3">
      <w:pPr>
        <w:pStyle w:val="Default"/>
        <w:numPr>
          <w:ilvl w:val="0"/>
          <w:numId w:val="28"/>
        </w:numPr>
        <w:jc w:val="both"/>
        <w:rPr>
          <w:b/>
        </w:rPr>
      </w:pPr>
      <w:r w:rsidRPr="00B5464E">
        <w:rPr>
          <w:b/>
        </w:rPr>
        <w:t>Poor documentation</w:t>
      </w:r>
    </w:p>
    <w:p w14:paraId="56DBDCC0" w14:textId="77777777" w:rsidR="00306BD9" w:rsidRPr="00B5464E" w:rsidRDefault="00306BD9" w:rsidP="00CD7CB3">
      <w:pPr>
        <w:pStyle w:val="Default"/>
        <w:numPr>
          <w:ilvl w:val="0"/>
          <w:numId w:val="28"/>
        </w:numPr>
        <w:jc w:val="both"/>
        <w:rPr>
          <w:b/>
        </w:rPr>
      </w:pPr>
      <w:r w:rsidRPr="00B5464E">
        <w:rPr>
          <w:b/>
        </w:rPr>
        <w:t>Choking incident</w:t>
      </w:r>
    </w:p>
    <w:p w14:paraId="6EDEC4B6" w14:textId="5049D2DC" w:rsidR="00CD7CB3" w:rsidRPr="00B5464E" w:rsidRDefault="00306BD9" w:rsidP="00CD7CB3">
      <w:pPr>
        <w:pStyle w:val="Default"/>
        <w:numPr>
          <w:ilvl w:val="0"/>
          <w:numId w:val="28"/>
        </w:numPr>
        <w:jc w:val="both"/>
        <w:rPr>
          <w:b/>
        </w:rPr>
      </w:pPr>
      <w:r w:rsidRPr="00B5464E">
        <w:rPr>
          <w:b/>
        </w:rPr>
        <w:t>Absconding</w:t>
      </w:r>
      <w:r w:rsidR="00CD7CB3" w:rsidRPr="00B5464E">
        <w:rPr>
          <w:b/>
        </w:rPr>
        <w:t xml:space="preserve"> </w:t>
      </w:r>
    </w:p>
    <w:p w14:paraId="732D5CA5" w14:textId="4D974F89" w:rsidR="00CD7CB3" w:rsidRPr="00B5464E" w:rsidRDefault="00CD7CB3" w:rsidP="00CD7CB3">
      <w:pPr>
        <w:pStyle w:val="Default"/>
        <w:numPr>
          <w:ilvl w:val="0"/>
          <w:numId w:val="28"/>
        </w:numPr>
        <w:jc w:val="both"/>
      </w:pPr>
      <w:r w:rsidRPr="00B5464E">
        <w:rPr>
          <w:b/>
        </w:rPr>
        <w:t>CQC Notification(s)</w:t>
      </w:r>
    </w:p>
    <w:p w14:paraId="7DC71D8A" w14:textId="77777777" w:rsidR="000C2725" w:rsidRPr="00B5464E" w:rsidRDefault="000C2725" w:rsidP="000C2725">
      <w:pPr>
        <w:pStyle w:val="Default"/>
        <w:numPr>
          <w:ilvl w:val="0"/>
          <w:numId w:val="28"/>
        </w:numPr>
        <w:jc w:val="both"/>
      </w:pPr>
      <w:r w:rsidRPr="00B5464E">
        <w:rPr>
          <w:b/>
        </w:rPr>
        <w:t xml:space="preserve">Non-regulated notifications </w:t>
      </w:r>
    </w:p>
    <w:p w14:paraId="5AC53C5B" w14:textId="77777777" w:rsidR="000C2725" w:rsidRPr="00B5464E" w:rsidRDefault="000C2725" w:rsidP="000C2725">
      <w:pPr>
        <w:pStyle w:val="Default"/>
        <w:numPr>
          <w:ilvl w:val="0"/>
          <w:numId w:val="28"/>
        </w:numPr>
        <w:jc w:val="both"/>
      </w:pPr>
      <w:r w:rsidRPr="00B5464E">
        <w:rPr>
          <w:b/>
        </w:rPr>
        <w:t>Accidents, Incidents and Serious Incidents</w:t>
      </w:r>
    </w:p>
    <w:p w14:paraId="625C2D59" w14:textId="77777777" w:rsidR="000C2725" w:rsidRPr="00B5464E" w:rsidRDefault="000C2725" w:rsidP="00CD7CB3">
      <w:pPr>
        <w:pStyle w:val="Default"/>
        <w:jc w:val="both"/>
      </w:pPr>
    </w:p>
    <w:p w14:paraId="1E1AB31F" w14:textId="0A1D2D96" w:rsidR="00CD7CB3" w:rsidRPr="00B5464E" w:rsidRDefault="00CD7CB3" w:rsidP="00CD7CB3">
      <w:pPr>
        <w:pStyle w:val="Default"/>
        <w:jc w:val="both"/>
      </w:pPr>
      <w:r w:rsidRPr="00B5464E">
        <w:t>This Guidance Tool</w:t>
      </w:r>
      <w:r w:rsidR="00D02F8A" w:rsidRPr="00B5464E">
        <w:t xml:space="preserve"> does not </w:t>
      </w:r>
      <w:r w:rsidRPr="00B5464E">
        <w:t xml:space="preserve">aim to set a </w:t>
      </w:r>
      <w:r w:rsidR="0030743B" w:rsidRPr="00B5464E">
        <w:t>rigid criterion</w:t>
      </w:r>
      <w:r w:rsidRPr="00B5464E">
        <w:t xml:space="preserve"> for intervention or </w:t>
      </w:r>
      <w:r w:rsidR="00D02F8A" w:rsidRPr="00B5464E">
        <w:t>replace p</w:t>
      </w:r>
      <w:r w:rsidRPr="00B5464E">
        <w:t xml:space="preserve">rofessional judgement. </w:t>
      </w:r>
      <w:r w:rsidR="00D02F8A" w:rsidRPr="00B5464E">
        <w:t xml:space="preserve"> </w:t>
      </w:r>
      <w:r w:rsidR="005D3BF6" w:rsidRPr="00B5464E">
        <w:t xml:space="preserve">If you are unsure about </w:t>
      </w:r>
      <w:r w:rsidRPr="00B5464E">
        <w:t xml:space="preserve">whether an incident is safeguarding, seek advice from </w:t>
      </w:r>
      <w:r w:rsidR="007F22F3" w:rsidRPr="00B5464E">
        <w:t>your</w:t>
      </w:r>
      <w:r w:rsidRPr="00B5464E">
        <w:t xml:space="preserve"> safeguarding lead.</w:t>
      </w:r>
    </w:p>
    <w:p w14:paraId="04BE3BF9" w14:textId="1C35497E" w:rsidR="00CD7CB3" w:rsidRPr="00B5464E" w:rsidRDefault="00CD7CB3" w:rsidP="00A70EDC">
      <w:pPr>
        <w:pStyle w:val="Default"/>
        <w:jc w:val="both"/>
      </w:pPr>
    </w:p>
    <w:p w14:paraId="6D15325F" w14:textId="3F4418B2" w:rsidR="00CD7CB3" w:rsidRPr="00B5464E" w:rsidRDefault="00CD7CB3" w:rsidP="00A70EDC">
      <w:pPr>
        <w:pStyle w:val="Default"/>
        <w:jc w:val="both"/>
      </w:pPr>
      <w:r w:rsidRPr="00B5464E">
        <w:t xml:space="preserve">This guidance Tool </w:t>
      </w:r>
      <w:r w:rsidR="0030743B" w:rsidRPr="00B5464E">
        <w:t>will.</w:t>
      </w:r>
    </w:p>
    <w:p w14:paraId="14013373" w14:textId="77777777" w:rsidR="000E5AD1" w:rsidRPr="00B5464E" w:rsidRDefault="000E5AD1" w:rsidP="00A70EDC">
      <w:pPr>
        <w:pStyle w:val="Default"/>
        <w:jc w:val="both"/>
      </w:pPr>
    </w:p>
    <w:p w14:paraId="69967053" w14:textId="6588C816" w:rsidR="00CD7CB3" w:rsidRPr="00B5464E" w:rsidRDefault="00CD7CB3" w:rsidP="00CD7CB3">
      <w:pPr>
        <w:pStyle w:val="Default"/>
        <w:numPr>
          <w:ilvl w:val="0"/>
          <w:numId w:val="44"/>
        </w:numPr>
        <w:jc w:val="both"/>
      </w:pPr>
      <w:r w:rsidRPr="00B5464E">
        <w:t xml:space="preserve">Support </w:t>
      </w:r>
      <w:r w:rsidR="00A70EDC" w:rsidRPr="00B5464E">
        <w:t>a culture of openness</w:t>
      </w:r>
      <w:r w:rsidR="007A09B6" w:rsidRPr="00B5464E">
        <w:t xml:space="preserve"> and </w:t>
      </w:r>
      <w:r w:rsidR="00A70EDC" w:rsidRPr="00B5464E">
        <w:t>transparency within health and social care services.</w:t>
      </w:r>
    </w:p>
    <w:p w14:paraId="6A05DD45" w14:textId="36C9A675" w:rsidR="005D3BF6" w:rsidRPr="00B5464E" w:rsidRDefault="00CD7CB3" w:rsidP="00A70EDC">
      <w:pPr>
        <w:pStyle w:val="Default"/>
        <w:numPr>
          <w:ilvl w:val="0"/>
          <w:numId w:val="44"/>
        </w:numPr>
        <w:jc w:val="both"/>
      </w:pPr>
      <w:r w:rsidRPr="00B5464E">
        <w:t>Will support</w:t>
      </w:r>
      <w:r w:rsidR="00A70EDC" w:rsidRPr="00B5464E">
        <w:t xml:space="preserve"> learning, good practice</w:t>
      </w:r>
      <w:r w:rsidR="007A09B6" w:rsidRPr="00B5464E">
        <w:t xml:space="preserve"> and help with decision making.</w:t>
      </w:r>
      <w:r w:rsidR="00A70EDC" w:rsidRPr="00B5464E">
        <w:t xml:space="preserve"> </w:t>
      </w:r>
    </w:p>
    <w:p w14:paraId="74C49C10" w14:textId="520D398A" w:rsidR="00CD7CB3" w:rsidRPr="00B5464E" w:rsidRDefault="005D3BF6" w:rsidP="00A70EDC">
      <w:pPr>
        <w:pStyle w:val="Default"/>
        <w:numPr>
          <w:ilvl w:val="0"/>
          <w:numId w:val="44"/>
        </w:numPr>
        <w:jc w:val="both"/>
      </w:pPr>
      <w:r w:rsidRPr="00B5464E">
        <w:t>Gather</w:t>
      </w:r>
      <w:r w:rsidR="00A70EDC" w:rsidRPr="00B5464E">
        <w:t xml:space="preserve"> intelligence</w:t>
      </w:r>
      <w:r w:rsidRPr="00B5464E">
        <w:t xml:space="preserve"> </w:t>
      </w:r>
      <w:r w:rsidR="00A70EDC" w:rsidRPr="00B5464E">
        <w:t xml:space="preserve">which will </w:t>
      </w:r>
      <w:r w:rsidR="007A09B6" w:rsidRPr="00B5464E">
        <w:t>improve services for residents</w:t>
      </w:r>
      <w:r w:rsidR="00A70EDC" w:rsidRPr="00B5464E">
        <w:t xml:space="preserve">. </w:t>
      </w:r>
    </w:p>
    <w:p w14:paraId="3E0A5D45" w14:textId="3D1BDC9A" w:rsidR="00CD7CB3" w:rsidRPr="00B5464E" w:rsidRDefault="00CD7CB3" w:rsidP="00A70EDC">
      <w:pPr>
        <w:pStyle w:val="Default"/>
        <w:numPr>
          <w:ilvl w:val="0"/>
          <w:numId w:val="44"/>
        </w:numPr>
        <w:jc w:val="both"/>
      </w:pPr>
      <w:r w:rsidRPr="00B5464E">
        <w:t>P</w:t>
      </w:r>
      <w:r w:rsidR="005D3BF6" w:rsidRPr="00B5464E">
        <w:t>rovide</w:t>
      </w:r>
      <w:r w:rsidR="00A70EDC" w:rsidRPr="00B5464E">
        <w:t xml:space="preserve"> guidance on reporting of Accident(s), Incident(s), Serious Incident(s) and when the</w:t>
      </w:r>
      <w:r w:rsidR="00337003" w:rsidRPr="00B5464E">
        <w:t xml:space="preserve"> N</w:t>
      </w:r>
      <w:r w:rsidR="007A09B6" w:rsidRPr="00B5464E">
        <w:t>C</w:t>
      </w:r>
      <w:r w:rsidR="00337003" w:rsidRPr="00B5464E">
        <w:t>C</w:t>
      </w:r>
      <w:r w:rsidR="00A70EDC" w:rsidRPr="00B5464E">
        <w:t xml:space="preserve"> Q</w:t>
      </w:r>
      <w:r w:rsidR="007A09B6" w:rsidRPr="00B5464E">
        <w:t>MM</w:t>
      </w:r>
      <w:r w:rsidR="00A70EDC" w:rsidRPr="00B5464E">
        <w:t xml:space="preserve">T require a copy of a CQC Notification(s). </w:t>
      </w:r>
    </w:p>
    <w:p w14:paraId="2060CBF1" w14:textId="77777777" w:rsidR="000E5AD1" w:rsidRPr="00B5464E" w:rsidRDefault="000E5AD1" w:rsidP="000E5AD1">
      <w:pPr>
        <w:pStyle w:val="Default"/>
        <w:ind w:left="720"/>
        <w:jc w:val="both"/>
      </w:pPr>
    </w:p>
    <w:p w14:paraId="0D0D5EC7" w14:textId="5C6F4552" w:rsidR="009B2CF4" w:rsidRPr="00B5464E" w:rsidRDefault="00DE6F33" w:rsidP="009F41C4">
      <w:pPr>
        <w:rPr>
          <w:rFonts w:ascii="Arial" w:hAnsi="Arial" w:cs="Arial"/>
          <w:sz w:val="24"/>
          <w:szCs w:val="24"/>
        </w:rPr>
      </w:pPr>
      <w:r w:rsidRPr="00B5464E">
        <w:rPr>
          <w:rFonts w:ascii="Arial" w:hAnsi="Arial" w:cs="Arial"/>
          <w:sz w:val="24"/>
          <w:szCs w:val="24"/>
        </w:rPr>
        <w:t>I</w:t>
      </w:r>
      <w:r w:rsidR="00ED50BD" w:rsidRPr="00B5464E">
        <w:rPr>
          <w:rFonts w:ascii="Arial" w:hAnsi="Arial" w:cs="Arial"/>
          <w:sz w:val="24"/>
          <w:szCs w:val="24"/>
        </w:rPr>
        <w:t xml:space="preserve">f you need to raise a </w:t>
      </w:r>
      <w:r w:rsidR="00F05A8E" w:rsidRPr="00B5464E">
        <w:rPr>
          <w:rFonts w:ascii="Arial" w:hAnsi="Arial" w:cs="Arial"/>
          <w:sz w:val="24"/>
          <w:szCs w:val="24"/>
        </w:rPr>
        <w:t>s</w:t>
      </w:r>
      <w:r w:rsidRPr="00B5464E">
        <w:rPr>
          <w:rFonts w:ascii="Arial" w:hAnsi="Arial" w:cs="Arial"/>
          <w:sz w:val="24"/>
          <w:szCs w:val="24"/>
        </w:rPr>
        <w:t>afeguard</w:t>
      </w:r>
      <w:r w:rsidR="00F05A8E" w:rsidRPr="00B5464E">
        <w:rPr>
          <w:rFonts w:ascii="Arial" w:hAnsi="Arial" w:cs="Arial"/>
          <w:sz w:val="24"/>
          <w:szCs w:val="24"/>
        </w:rPr>
        <w:t>ing</w:t>
      </w:r>
      <w:r w:rsidRPr="00B5464E">
        <w:rPr>
          <w:rFonts w:ascii="Arial" w:hAnsi="Arial" w:cs="Arial"/>
          <w:sz w:val="24"/>
          <w:szCs w:val="24"/>
        </w:rPr>
        <w:t xml:space="preserve"> </w:t>
      </w:r>
      <w:r w:rsidR="00F05A8E" w:rsidRPr="00B5464E">
        <w:rPr>
          <w:rFonts w:ascii="Arial" w:hAnsi="Arial" w:cs="Arial"/>
          <w:sz w:val="24"/>
          <w:szCs w:val="24"/>
        </w:rPr>
        <w:t>concern</w:t>
      </w:r>
      <w:r w:rsidRPr="00B5464E">
        <w:rPr>
          <w:rFonts w:ascii="Arial" w:hAnsi="Arial" w:cs="Arial"/>
          <w:sz w:val="24"/>
          <w:szCs w:val="24"/>
        </w:rPr>
        <w:t xml:space="preserve"> please ensure you follow</w:t>
      </w:r>
      <w:r w:rsidR="00C70196" w:rsidRPr="00B5464E">
        <w:rPr>
          <w:rFonts w:ascii="Arial" w:hAnsi="Arial" w:cs="Arial"/>
          <w:sz w:val="24"/>
          <w:szCs w:val="24"/>
        </w:rPr>
        <w:t xml:space="preserve"> your own organisations safeguarding procedures in line with </w:t>
      </w:r>
      <w:r w:rsidR="002933E9" w:rsidRPr="00B5464E">
        <w:rPr>
          <w:rFonts w:ascii="Arial" w:hAnsi="Arial" w:cs="Arial"/>
          <w:sz w:val="24"/>
          <w:szCs w:val="24"/>
        </w:rPr>
        <w:t>the;</w:t>
      </w:r>
      <w:r w:rsidRPr="00B5464E">
        <w:rPr>
          <w:rFonts w:ascii="Arial" w:hAnsi="Arial" w:cs="Arial"/>
          <w:sz w:val="24"/>
          <w:szCs w:val="24"/>
        </w:rPr>
        <w:t xml:space="preserve"> </w:t>
      </w:r>
      <w:hyperlink r:id="rId14" w:history="1">
        <w:r w:rsidR="00C62D70" w:rsidRPr="00B5464E">
          <w:rPr>
            <w:rStyle w:val="Hyperlink"/>
            <w:rFonts w:ascii="Arial" w:hAnsi="Arial" w:cs="Arial"/>
            <w:sz w:val="24"/>
            <w:szCs w:val="24"/>
          </w:rPr>
          <w:t>Nottinghamshire Safeguarding Adults Board Procedures and Guidance</w:t>
        </w:r>
      </w:hyperlink>
      <w:r w:rsidR="00C62D70" w:rsidRPr="00B5464E">
        <w:rPr>
          <w:rFonts w:ascii="Arial" w:hAnsi="Arial" w:cs="Arial"/>
          <w:sz w:val="24"/>
          <w:szCs w:val="24"/>
        </w:rPr>
        <w:t>.</w:t>
      </w:r>
      <w:r w:rsidR="00ED50BD" w:rsidRPr="00B5464E">
        <w:rPr>
          <w:rFonts w:ascii="Arial" w:hAnsi="Arial" w:cs="Arial"/>
          <w:sz w:val="24"/>
          <w:szCs w:val="24"/>
        </w:rPr>
        <w:t xml:space="preserve"> You </w:t>
      </w:r>
      <w:r w:rsidRPr="00B5464E">
        <w:rPr>
          <w:rFonts w:ascii="Arial" w:hAnsi="Arial" w:cs="Arial"/>
          <w:sz w:val="24"/>
          <w:szCs w:val="24"/>
        </w:rPr>
        <w:t xml:space="preserve">do not need to send </w:t>
      </w:r>
      <w:r w:rsidR="00ED50BD" w:rsidRPr="00B5464E">
        <w:rPr>
          <w:rFonts w:ascii="Arial" w:hAnsi="Arial" w:cs="Arial"/>
          <w:sz w:val="24"/>
          <w:szCs w:val="24"/>
        </w:rPr>
        <w:t>any information relating</w:t>
      </w:r>
      <w:r w:rsidR="00E507F5" w:rsidRPr="00B5464E">
        <w:rPr>
          <w:rFonts w:ascii="Arial" w:hAnsi="Arial" w:cs="Arial"/>
          <w:sz w:val="24"/>
          <w:szCs w:val="24"/>
        </w:rPr>
        <w:t xml:space="preserve"> to </w:t>
      </w:r>
      <w:r w:rsidR="00C62D70" w:rsidRPr="00B5464E">
        <w:rPr>
          <w:rFonts w:ascii="Arial" w:hAnsi="Arial" w:cs="Arial"/>
          <w:sz w:val="24"/>
          <w:szCs w:val="24"/>
        </w:rPr>
        <w:t>a</w:t>
      </w:r>
      <w:r w:rsidR="00E507F5" w:rsidRPr="00B5464E">
        <w:rPr>
          <w:rFonts w:ascii="Arial" w:hAnsi="Arial" w:cs="Arial"/>
          <w:sz w:val="24"/>
          <w:szCs w:val="24"/>
        </w:rPr>
        <w:t xml:space="preserve"> </w:t>
      </w:r>
      <w:r w:rsidR="00F05A8E" w:rsidRPr="00B5464E">
        <w:rPr>
          <w:rFonts w:ascii="Arial" w:hAnsi="Arial" w:cs="Arial"/>
          <w:sz w:val="24"/>
          <w:szCs w:val="24"/>
        </w:rPr>
        <w:t>safeguarding concern</w:t>
      </w:r>
      <w:r w:rsidR="00E507F5" w:rsidRPr="00B5464E">
        <w:rPr>
          <w:rFonts w:ascii="Arial" w:hAnsi="Arial" w:cs="Arial"/>
          <w:sz w:val="24"/>
          <w:szCs w:val="24"/>
        </w:rPr>
        <w:t xml:space="preserve"> to</w:t>
      </w:r>
      <w:r w:rsidRPr="00B5464E">
        <w:rPr>
          <w:rFonts w:ascii="Arial" w:hAnsi="Arial" w:cs="Arial"/>
          <w:sz w:val="24"/>
          <w:szCs w:val="24"/>
        </w:rPr>
        <w:t xml:space="preserve"> the</w:t>
      </w:r>
      <w:r w:rsidR="00337003" w:rsidRPr="00B5464E">
        <w:rPr>
          <w:rFonts w:ascii="Arial" w:hAnsi="Arial" w:cs="Arial"/>
          <w:sz w:val="24"/>
          <w:szCs w:val="24"/>
        </w:rPr>
        <w:t xml:space="preserve"> </w:t>
      </w:r>
      <w:r w:rsidR="00C62D70" w:rsidRPr="00B5464E">
        <w:rPr>
          <w:rFonts w:ascii="Arial" w:hAnsi="Arial" w:cs="Arial"/>
          <w:sz w:val="24"/>
          <w:szCs w:val="24"/>
        </w:rPr>
        <w:t>NCC QMMT</w:t>
      </w:r>
      <w:r w:rsidRPr="00B5464E">
        <w:rPr>
          <w:rFonts w:ascii="Arial" w:hAnsi="Arial" w:cs="Arial"/>
          <w:sz w:val="24"/>
          <w:szCs w:val="24"/>
        </w:rPr>
        <w:t xml:space="preserve">. </w:t>
      </w:r>
    </w:p>
    <w:p w14:paraId="06F04BEF" w14:textId="77777777" w:rsidR="00962BB8" w:rsidRPr="00B5464E" w:rsidRDefault="00962BB8" w:rsidP="009F41C4">
      <w:pPr>
        <w:rPr>
          <w:rFonts w:ascii="Arial" w:hAnsi="Arial" w:cs="Arial"/>
          <w:sz w:val="24"/>
          <w:szCs w:val="24"/>
        </w:rPr>
      </w:pPr>
    </w:p>
    <w:tbl>
      <w:tblPr>
        <w:tblStyle w:val="TableGrid"/>
        <w:tblW w:w="14043" w:type="dxa"/>
        <w:tblLook w:val="0000" w:firstRow="0" w:lastRow="0" w:firstColumn="0" w:lastColumn="0" w:noHBand="0" w:noVBand="0"/>
      </w:tblPr>
      <w:tblGrid>
        <w:gridCol w:w="6833"/>
        <w:gridCol w:w="108"/>
        <w:gridCol w:w="7088"/>
        <w:gridCol w:w="14"/>
      </w:tblGrid>
      <w:tr w:rsidR="003501F6" w:rsidRPr="005B78A7" w14:paraId="5D53BC58" w14:textId="77777777" w:rsidTr="005B7CF2">
        <w:trPr>
          <w:gridAfter w:val="1"/>
          <w:wAfter w:w="14" w:type="dxa"/>
          <w:trHeight w:val="360"/>
        </w:trPr>
        <w:tc>
          <w:tcPr>
            <w:tcW w:w="14029" w:type="dxa"/>
            <w:gridSpan w:val="3"/>
            <w:shd w:val="clear" w:color="auto" w:fill="1F3864" w:themeFill="accent5" w:themeFillShade="80"/>
          </w:tcPr>
          <w:p w14:paraId="4D58A8E2" w14:textId="46C18180" w:rsidR="003501F6" w:rsidRPr="005B78A7" w:rsidRDefault="003501F6" w:rsidP="002E0721">
            <w:pPr>
              <w:pStyle w:val="Heading1"/>
              <w:rPr>
                <w:rFonts w:ascii="Arial" w:hAnsi="Arial" w:cs="Arial"/>
              </w:rPr>
            </w:pPr>
            <w:bookmarkStart w:id="1" w:name="_Toc183025723"/>
            <w:r w:rsidRPr="005B78A7">
              <w:rPr>
                <w:rFonts w:ascii="Arial" w:hAnsi="Arial" w:cs="Arial"/>
              </w:rPr>
              <w:t>FALLS</w:t>
            </w:r>
            <w:bookmarkEnd w:id="1"/>
          </w:p>
        </w:tc>
      </w:tr>
      <w:tr w:rsidR="003501F6" w:rsidRPr="005B78A7" w14:paraId="1BF39D57" w14:textId="77777777" w:rsidTr="005B7CF2">
        <w:tblPrEx>
          <w:tblLook w:val="04A0" w:firstRow="1" w:lastRow="0" w:firstColumn="1" w:lastColumn="0" w:noHBand="0" w:noVBand="1"/>
        </w:tblPrEx>
        <w:trPr>
          <w:gridAfter w:val="1"/>
          <w:wAfter w:w="14" w:type="dxa"/>
        </w:trPr>
        <w:tc>
          <w:tcPr>
            <w:tcW w:w="6941" w:type="dxa"/>
            <w:gridSpan w:val="2"/>
            <w:shd w:val="clear" w:color="auto" w:fill="1F3864" w:themeFill="accent5" w:themeFillShade="80"/>
          </w:tcPr>
          <w:p w14:paraId="70E2B566" w14:textId="278954CF" w:rsidR="003501F6" w:rsidRPr="005B78A7" w:rsidRDefault="003501F6" w:rsidP="003501F6">
            <w:pPr>
              <w:rPr>
                <w:rFonts w:ascii="Arial" w:hAnsi="Arial" w:cs="Arial"/>
              </w:rPr>
            </w:pPr>
            <w:r w:rsidRPr="005B78A7">
              <w:rPr>
                <w:rFonts w:ascii="Arial" w:hAnsi="Arial" w:cs="Arial"/>
              </w:rPr>
              <w:t xml:space="preserve">When to report </w:t>
            </w:r>
            <w:r w:rsidR="006B073B" w:rsidRPr="005B78A7">
              <w:rPr>
                <w:rFonts w:ascii="Arial" w:hAnsi="Arial" w:cs="Arial"/>
              </w:rPr>
              <w:t xml:space="preserve">using the </w:t>
            </w:r>
            <w:r w:rsidR="00611E16" w:rsidRPr="005B78A7">
              <w:rPr>
                <w:rFonts w:ascii="Arial" w:hAnsi="Arial" w:cs="Arial"/>
              </w:rPr>
              <w:t xml:space="preserve">Non-Safeguarding Notification </w:t>
            </w:r>
            <w:r w:rsidR="006B073B" w:rsidRPr="005B78A7">
              <w:rPr>
                <w:rFonts w:ascii="Arial" w:hAnsi="Arial" w:cs="Arial"/>
              </w:rPr>
              <w:t>Form</w:t>
            </w:r>
          </w:p>
        </w:tc>
        <w:tc>
          <w:tcPr>
            <w:tcW w:w="7088" w:type="dxa"/>
            <w:shd w:val="clear" w:color="auto" w:fill="1F3864" w:themeFill="accent5" w:themeFillShade="80"/>
          </w:tcPr>
          <w:p w14:paraId="31B2304C" w14:textId="5BA47388" w:rsidR="003501F6" w:rsidRPr="005B78A7" w:rsidRDefault="003501F6" w:rsidP="003501F6">
            <w:pPr>
              <w:rPr>
                <w:rFonts w:ascii="Arial" w:hAnsi="Arial" w:cs="Arial"/>
              </w:rPr>
            </w:pPr>
            <w:r w:rsidRPr="005B78A7">
              <w:rPr>
                <w:rFonts w:ascii="Arial" w:hAnsi="Arial" w:cs="Arial"/>
              </w:rPr>
              <w:t xml:space="preserve">Examples of when a safeguarding concern should be raised. If you are unsure, consult with </w:t>
            </w:r>
            <w:r w:rsidR="002102F5" w:rsidRPr="005B78A7">
              <w:rPr>
                <w:rFonts w:ascii="Arial" w:hAnsi="Arial" w:cs="Arial"/>
              </w:rPr>
              <w:t>your</w:t>
            </w:r>
            <w:r w:rsidRPr="005B78A7">
              <w:rPr>
                <w:rFonts w:ascii="Arial" w:hAnsi="Arial" w:cs="Arial"/>
              </w:rPr>
              <w:t xml:space="preserve"> Safeguarding Lead</w:t>
            </w:r>
          </w:p>
        </w:tc>
      </w:tr>
      <w:tr w:rsidR="003501F6" w:rsidRPr="005B78A7" w14:paraId="57289F5D"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19C6574E" w14:textId="1006F14C" w:rsidR="003501F6" w:rsidRPr="005B78A7" w:rsidRDefault="003501F6" w:rsidP="003501F6">
            <w:pPr>
              <w:rPr>
                <w:rFonts w:ascii="Arial" w:hAnsi="Arial" w:cs="Arial"/>
              </w:rPr>
            </w:pPr>
            <w:r w:rsidRPr="005B78A7">
              <w:rPr>
                <w:rFonts w:ascii="Arial" w:hAnsi="Arial" w:cs="Arial"/>
              </w:rPr>
              <w:t>There are repetitive falls for unexplained reasons;</w:t>
            </w:r>
            <w:r w:rsidR="0050643E" w:rsidRPr="005B78A7">
              <w:rPr>
                <w:rFonts w:ascii="Arial" w:hAnsi="Arial" w:cs="Arial"/>
              </w:rPr>
              <w:t xml:space="preserve"> or</w:t>
            </w:r>
          </w:p>
          <w:p w14:paraId="39DFB4AD" w14:textId="4CDDECC0" w:rsidR="0050643E" w:rsidRPr="005B78A7" w:rsidRDefault="0050643E" w:rsidP="0050643E">
            <w:pPr>
              <w:rPr>
                <w:rFonts w:ascii="Arial" w:hAnsi="Arial" w:cs="Arial"/>
              </w:rPr>
            </w:pPr>
            <w:r w:rsidRPr="005B78A7">
              <w:rPr>
                <w:rFonts w:ascii="Arial" w:hAnsi="Arial" w:cs="Arial"/>
              </w:rPr>
              <w:t>Where there is an environmental hazard, such as poor lighting or clutter, resulting in a fall which does not result in any injury</w:t>
            </w:r>
          </w:p>
        </w:tc>
        <w:tc>
          <w:tcPr>
            <w:tcW w:w="7088" w:type="dxa"/>
            <w:shd w:val="clear" w:color="auto" w:fill="C5E0B3" w:themeFill="accent6" w:themeFillTint="66"/>
          </w:tcPr>
          <w:p w14:paraId="601434D7" w14:textId="1D4DC99A" w:rsidR="00E555ED" w:rsidRPr="005B78A7" w:rsidRDefault="00E555ED" w:rsidP="00036D99">
            <w:pPr>
              <w:pStyle w:val="ListParagraph"/>
              <w:numPr>
                <w:ilvl w:val="0"/>
                <w:numId w:val="16"/>
              </w:numPr>
              <w:rPr>
                <w:rFonts w:ascii="Arial" w:hAnsi="Arial" w:cs="Arial"/>
              </w:rPr>
            </w:pPr>
            <w:r w:rsidRPr="005B78A7">
              <w:rPr>
                <w:rFonts w:ascii="Arial" w:hAnsi="Arial" w:cs="Arial"/>
              </w:rPr>
              <w:t xml:space="preserve">An adult at risk sustains a </w:t>
            </w:r>
            <w:r w:rsidR="00036D99" w:rsidRPr="005B78A7">
              <w:rPr>
                <w:rFonts w:ascii="Arial" w:hAnsi="Arial" w:cs="Arial"/>
              </w:rPr>
              <w:t>significant</w:t>
            </w:r>
            <w:r w:rsidR="003501F6" w:rsidRPr="005B78A7">
              <w:rPr>
                <w:rFonts w:ascii="Arial" w:hAnsi="Arial" w:cs="Arial"/>
              </w:rPr>
              <w:t xml:space="preserve"> injury due to a fall</w:t>
            </w:r>
            <w:r w:rsidRPr="005B78A7">
              <w:rPr>
                <w:rFonts w:ascii="Arial" w:hAnsi="Arial" w:cs="Arial"/>
              </w:rPr>
              <w:t>; or</w:t>
            </w:r>
          </w:p>
          <w:p w14:paraId="04A6F053" w14:textId="2C65D1EF" w:rsidR="003A2FA9" w:rsidRPr="005B78A7" w:rsidRDefault="00E555ED" w:rsidP="00036D99">
            <w:pPr>
              <w:pStyle w:val="ListParagraph"/>
              <w:numPr>
                <w:ilvl w:val="0"/>
                <w:numId w:val="16"/>
              </w:numPr>
              <w:rPr>
                <w:rFonts w:ascii="Arial" w:hAnsi="Arial" w:cs="Arial"/>
              </w:rPr>
            </w:pPr>
            <w:r w:rsidRPr="005B78A7">
              <w:rPr>
                <w:rFonts w:ascii="Arial" w:hAnsi="Arial" w:cs="Arial"/>
              </w:rPr>
              <w:t>W</w:t>
            </w:r>
            <w:r w:rsidR="00036D99" w:rsidRPr="005B78A7">
              <w:rPr>
                <w:rFonts w:ascii="Arial" w:hAnsi="Arial" w:cs="Arial"/>
              </w:rPr>
              <w:t xml:space="preserve">here abuse, neglect or </w:t>
            </w:r>
            <w:r w:rsidRPr="005B78A7">
              <w:rPr>
                <w:rFonts w:ascii="Arial" w:hAnsi="Arial" w:cs="Arial"/>
              </w:rPr>
              <w:t xml:space="preserve">act of </w:t>
            </w:r>
            <w:r w:rsidR="00036D99" w:rsidRPr="005B78A7">
              <w:rPr>
                <w:rFonts w:ascii="Arial" w:hAnsi="Arial" w:cs="Arial"/>
              </w:rPr>
              <w:t>omission is suspected or</w:t>
            </w:r>
            <w:r w:rsidR="003A2FA9" w:rsidRPr="005B78A7">
              <w:rPr>
                <w:rFonts w:ascii="Arial" w:hAnsi="Arial" w:cs="Arial"/>
              </w:rPr>
              <w:t xml:space="preserve">; </w:t>
            </w:r>
          </w:p>
          <w:p w14:paraId="43A4D29E" w14:textId="7B1D24D8" w:rsidR="00E555ED" w:rsidRPr="005B78A7" w:rsidRDefault="003A2FA9" w:rsidP="00E555ED">
            <w:pPr>
              <w:pStyle w:val="ListParagraph"/>
              <w:numPr>
                <w:ilvl w:val="0"/>
                <w:numId w:val="16"/>
              </w:numPr>
              <w:rPr>
                <w:rFonts w:ascii="Arial" w:hAnsi="Arial" w:cs="Arial"/>
              </w:rPr>
            </w:pPr>
            <w:r w:rsidRPr="005B78A7">
              <w:rPr>
                <w:rFonts w:ascii="Arial" w:hAnsi="Arial" w:cs="Arial"/>
              </w:rPr>
              <w:t>There was not an</w:t>
            </w:r>
            <w:r w:rsidR="003501F6" w:rsidRPr="005B78A7">
              <w:rPr>
                <w:rFonts w:ascii="Arial" w:hAnsi="Arial" w:cs="Arial"/>
              </w:rPr>
              <w:t xml:space="preserve"> appropriate risk assessment</w:t>
            </w:r>
            <w:r w:rsidRPr="005B78A7">
              <w:rPr>
                <w:rFonts w:ascii="Arial" w:hAnsi="Arial" w:cs="Arial"/>
              </w:rPr>
              <w:t xml:space="preserve"> in place (if there was history of falls) if one was In </w:t>
            </w:r>
            <w:r w:rsidR="00E555ED" w:rsidRPr="005B78A7">
              <w:rPr>
                <w:rFonts w:ascii="Arial" w:hAnsi="Arial" w:cs="Arial"/>
              </w:rPr>
              <w:t>place but</w:t>
            </w:r>
            <w:r w:rsidRPr="005B78A7">
              <w:rPr>
                <w:rFonts w:ascii="Arial" w:hAnsi="Arial" w:cs="Arial"/>
              </w:rPr>
              <w:t xml:space="preserve"> was not</w:t>
            </w:r>
            <w:r w:rsidR="003501F6" w:rsidRPr="005B78A7">
              <w:rPr>
                <w:rFonts w:ascii="Arial" w:hAnsi="Arial" w:cs="Arial"/>
              </w:rPr>
              <w:t xml:space="preserve"> followed, </w:t>
            </w:r>
            <w:r w:rsidR="00E555ED" w:rsidRPr="005B78A7">
              <w:rPr>
                <w:rFonts w:ascii="Arial" w:hAnsi="Arial" w:cs="Arial"/>
              </w:rPr>
              <w:t>there is no evidence of the care plan being reviewed and updated following a fall or a change of circumstance; or</w:t>
            </w:r>
          </w:p>
          <w:p w14:paraId="1BDF0DFF" w14:textId="7591F745" w:rsidR="00AA24E2" w:rsidRPr="005B78A7" w:rsidRDefault="00AA24E2" w:rsidP="0050643E">
            <w:pPr>
              <w:pStyle w:val="ListParagraph"/>
              <w:numPr>
                <w:ilvl w:val="0"/>
                <w:numId w:val="16"/>
              </w:numPr>
              <w:rPr>
                <w:rFonts w:ascii="Arial" w:hAnsi="Arial" w:cs="Arial"/>
              </w:rPr>
            </w:pPr>
            <w:r w:rsidRPr="005B78A7">
              <w:rPr>
                <w:rFonts w:ascii="Arial" w:hAnsi="Arial" w:cs="Arial"/>
              </w:rPr>
              <w:t>T</w:t>
            </w:r>
            <w:r w:rsidR="003501F6" w:rsidRPr="005B78A7">
              <w:rPr>
                <w:rFonts w:ascii="Arial" w:hAnsi="Arial" w:cs="Arial"/>
              </w:rPr>
              <w:t>here is a dela</w:t>
            </w:r>
            <w:r w:rsidR="0050643E" w:rsidRPr="005B78A7">
              <w:rPr>
                <w:rFonts w:ascii="Arial" w:hAnsi="Arial" w:cs="Arial"/>
              </w:rPr>
              <w:t xml:space="preserve">y in response/medical intervention </w:t>
            </w:r>
          </w:p>
        </w:tc>
      </w:tr>
      <w:tr w:rsidR="0097762A" w:rsidRPr="005B78A7" w14:paraId="2E8C2286" w14:textId="77777777" w:rsidTr="005B7CF2">
        <w:trPr>
          <w:gridAfter w:val="1"/>
          <w:wAfter w:w="14" w:type="dxa"/>
          <w:trHeight w:val="270"/>
        </w:trPr>
        <w:tc>
          <w:tcPr>
            <w:tcW w:w="14029" w:type="dxa"/>
            <w:gridSpan w:val="3"/>
            <w:shd w:val="clear" w:color="auto" w:fill="002060"/>
          </w:tcPr>
          <w:p w14:paraId="0634B18D" w14:textId="0952F182" w:rsidR="0097762A" w:rsidRPr="005B78A7" w:rsidRDefault="002F2D9F" w:rsidP="002E0721">
            <w:pPr>
              <w:pStyle w:val="Heading1"/>
              <w:rPr>
                <w:rFonts w:ascii="Arial" w:hAnsi="Arial" w:cs="Arial"/>
              </w:rPr>
            </w:pPr>
            <w:bookmarkStart w:id="2" w:name="_Toc183025724"/>
            <w:r w:rsidRPr="005B78A7">
              <w:rPr>
                <w:rFonts w:ascii="Arial" w:hAnsi="Arial" w:cs="Arial"/>
              </w:rPr>
              <w:t>PEER ON PEER INCIDENT</w:t>
            </w:r>
            <w:bookmarkEnd w:id="2"/>
          </w:p>
        </w:tc>
      </w:tr>
      <w:tr w:rsidR="0097762A" w:rsidRPr="005B78A7" w14:paraId="7DF70FCB" w14:textId="77777777" w:rsidTr="005B7CF2">
        <w:tblPrEx>
          <w:tblLook w:val="04A0" w:firstRow="1" w:lastRow="0" w:firstColumn="1" w:lastColumn="0" w:noHBand="0" w:noVBand="1"/>
        </w:tblPrEx>
        <w:trPr>
          <w:gridAfter w:val="1"/>
          <w:wAfter w:w="14" w:type="dxa"/>
        </w:trPr>
        <w:tc>
          <w:tcPr>
            <w:tcW w:w="6941" w:type="dxa"/>
            <w:gridSpan w:val="2"/>
            <w:shd w:val="clear" w:color="auto" w:fill="1F3864" w:themeFill="accent5" w:themeFillShade="80"/>
          </w:tcPr>
          <w:p w14:paraId="3B156210" w14:textId="535D6390" w:rsidR="0097762A" w:rsidRPr="005B78A7" w:rsidRDefault="006B073B" w:rsidP="00901410">
            <w:pPr>
              <w:rPr>
                <w:rFonts w:ascii="Arial" w:hAnsi="Arial" w:cs="Arial"/>
              </w:rPr>
            </w:pPr>
            <w:r w:rsidRPr="005B78A7">
              <w:rPr>
                <w:rFonts w:ascii="Arial" w:hAnsi="Arial" w:cs="Arial"/>
              </w:rPr>
              <w:t xml:space="preserve">When to report using the </w:t>
            </w:r>
            <w:r w:rsidR="00D63A0C" w:rsidRPr="005B78A7">
              <w:rPr>
                <w:rFonts w:ascii="Arial" w:hAnsi="Arial" w:cs="Arial"/>
              </w:rPr>
              <w:t xml:space="preserve">Non-Safeguarding Notification </w:t>
            </w:r>
            <w:r w:rsidRPr="005B78A7">
              <w:rPr>
                <w:rFonts w:ascii="Arial" w:hAnsi="Arial" w:cs="Arial"/>
              </w:rPr>
              <w:t>Form</w:t>
            </w:r>
          </w:p>
        </w:tc>
        <w:tc>
          <w:tcPr>
            <w:tcW w:w="7088" w:type="dxa"/>
            <w:shd w:val="clear" w:color="auto" w:fill="1F3864" w:themeFill="accent5" w:themeFillShade="80"/>
          </w:tcPr>
          <w:p w14:paraId="3E5FD83A" w14:textId="5E02C48B" w:rsidR="0097762A" w:rsidRPr="005B78A7" w:rsidRDefault="002102F5" w:rsidP="00901410">
            <w:pPr>
              <w:rPr>
                <w:rFonts w:ascii="Arial" w:hAnsi="Arial" w:cs="Arial"/>
              </w:rPr>
            </w:pPr>
            <w:r w:rsidRPr="005B78A7">
              <w:rPr>
                <w:rFonts w:ascii="Arial" w:hAnsi="Arial" w:cs="Arial"/>
              </w:rPr>
              <w:t>Examples of when a safeguarding concern should be raised. If you are unsure, consult with your Safeguarding Lead</w:t>
            </w:r>
          </w:p>
        </w:tc>
      </w:tr>
      <w:tr w:rsidR="003501F6" w:rsidRPr="005B78A7" w14:paraId="7C86F158"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687CBEBF" w14:textId="0281667F" w:rsidR="003501F6" w:rsidRPr="005B78A7" w:rsidRDefault="003501F6" w:rsidP="0097762A">
            <w:pPr>
              <w:rPr>
                <w:rFonts w:ascii="Arial" w:hAnsi="Arial" w:cs="Arial"/>
                <w:strike/>
              </w:rPr>
            </w:pPr>
            <w:r w:rsidRPr="005B78A7">
              <w:rPr>
                <w:rFonts w:ascii="Arial" w:hAnsi="Arial" w:cs="Arial"/>
              </w:rPr>
              <w:t>No requirement to complete a</w:t>
            </w:r>
            <w:r w:rsidR="00D63A0C" w:rsidRPr="005B78A7">
              <w:rPr>
                <w:rFonts w:ascii="Arial" w:hAnsi="Arial" w:cs="Arial"/>
              </w:rPr>
              <w:t xml:space="preserve"> Non-Safeguarding Notification</w:t>
            </w:r>
          </w:p>
          <w:p w14:paraId="0FD32965" w14:textId="13049741" w:rsidR="003501F6" w:rsidRPr="005B78A7" w:rsidRDefault="003501F6" w:rsidP="0097762A">
            <w:pPr>
              <w:rPr>
                <w:rFonts w:ascii="Arial" w:hAnsi="Arial" w:cs="Arial"/>
              </w:rPr>
            </w:pPr>
            <w:r w:rsidRPr="005B78A7">
              <w:rPr>
                <w:rFonts w:ascii="Arial" w:hAnsi="Arial" w:cs="Arial"/>
              </w:rPr>
              <w:t>N.</w:t>
            </w:r>
            <w:r w:rsidR="00476856" w:rsidRPr="005B78A7">
              <w:rPr>
                <w:rFonts w:ascii="Arial" w:hAnsi="Arial" w:cs="Arial"/>
              </w:rPr>
              <w:t>B</w:t>
            </w:r>
            <w:r w:rsidRPr="005B78A7">
              <w:rPr>
                <w:rFonts w:ascii="Arial" w:hAnsi="Arial" w:cs="Arial"/>
              </w:rPr>
              <w:t xml:space="preserve">. It is the responsibility of the Service Manager or Registered Manager </w:t>
            </w:r>
            <w:r w:rsidR="00634AC4" w:rsidRPr="005B78A7">
              <w:rPr>
                <w:rFonts w:ascii="Arial" w:hAnsi="Arial" w:cs="Arial"/>
              </w:rPr>
              <w:t>to.</w:t>
            </w:r>
          </w:p>
          <w:p w14:paraId="32E7CD13" w14:textId="1C11CCE1" w:rsidR="003501F6" w:rsidRPr="005B78A7" w:rsidRDefault="003501F6" w:rsidP="0097762A">
            <w:pPr>
              <w:pStyle w:val="ListParagraph"/>
              <w:numPr>
                <w:ilvl w:val="0"/>
                <w:numId w:val="15"/>
              </w:numPr>
              <w:rPr>
                <w:rFonts w:ascii="Arial" w:hAnsi="Arial" w:cs="Arial"/>
              </w:rPr>
            </w:pPr>
            <w:r w:rsidRPr="005B78A7">
              <w:rPr>
                <w:rFonts w:ascii="Arial" w:hAnsi="Arial" w:cs="Arial"/>
              </w:rPr>
              <w:t xml:space="preserve">Review the support of the individual(s) involved in the </w:t>
            </w:r>
            <w:r w:rsidR="00634AC4" w:rsidRPr="005B78A7">
              <w:rPr>
                <w:rFonts w:ascii="Arial" w:hAnsi="Arial" w:cs="Arial"/>
              </w:rPr>
              <w:t>incident.</w:t>
            </w:r>
            <w:r w:rsidRPr="005B78A7">
              <w:rPr>
                <w:rFonts w:ascii="Arial" w:hAnsi="Arial" w:cs="Arial"/>
              </w:rPr>
              <w:t xml:space="preserve"> </w:t>
            </w:r>
          </w:p>
          <w:p w14:paraId="01B33363" w14:textId="77777777" w:rsidR="003501F6" w:rsidRPr="005B78A7" w:rsidRDefault="003501F6" w:rsidP="0097762A">
            <w:pPr>
              <w:pStyle w:val="ListParagraph"/>
              <w:numPr>
                <w:ilvl w:val="0"/>
                <w:numId w:val="15"/>
              </w:numPr>
              <w:rPr>
                <w:rFonts w:ascii="Arial" w:hAnsi="Arial" w:cs="Arial"/>
              </w:rPr>
            </w:pPr>
            <w:r w:rsidRPr="005B78A7">
              <w:rPr>
                <w:rFonts w:ascii="Arial" w:hAnsi="Arial" w:cs="Arial"/>
              </w:rPr>
              <w:t>Ensure that a risk assessment is in place for the immediate safety of all people who use the service.</w:t>
            </w:r>
          </w:p>
          <w:p w14:paraId="7F0B591B" w14:textId="3BA3CAC5" w:rsidR="003501F6" w:rsidRPr="005B78A7" w:rsidRDefault="003501F6" w:rsidP="0097762A">
            <w:pPr>
              <w:rPr>
                <w:rFonts w:ascii="Arial" w:hAnsi="Arial" w:cs="Arial"/>
                <w:strike/>
              </w:rPr>
            </w:pPr>
          </w:p>
        </w:tc>
        <w:tc>
          <w:tcPr>
            <w:tcW w:w="7088" w:type="dxa"/>
            <w:shd w:val="clear" w:color="auto" w:fill="C5E0B3" w:themeFill="accent6" w:themeFillTint="66"/>
          </w:tcPr>
          <w:p w14:paraId="09DA2AFE" w14:textId="358953E0" w:rsidR="003501F6" w:rsidRPr="005B78A7" w:rsidRDefault="003501F6" w:rsidP="0097762A">
            <w:pPr>
              <w:pStyle w:val="ListParagraph"/>
              <w:numPr>
                <w:ilvl w:val="0"/>
                <w:numId w:val="14"/>
              </w:numPr>
              <w:rPr>
                <w:rFonts w:ascii="Arial" w:hAnsi="Arial" w:cs="Arial"/>
              </w:rPr>
            </w:pPr>
            <w:r w:rsidRPr="005B78A7">
              <w:rPr>
                <w:rFonts w:ascii="Arial" w:hAnsi="Arial" w:cs="Arial"/>
              </w:rPr>
              <w:t xml:space="preserve">An adult at risk has been harmed during an incident and there is an impact on their </w:t>
            </w:r>
            <w:r w:rsidR="0030743B" w:rsidRPr="005B78A7">
              <w:rPr>
                <w:rFonts w:ascii="Arial" w:hAnsi="Arial" w:cs="Arial"/>
              </w:rPr>
              <w:t>wellbeing.</w:t>
            </w:r>
            <w:r w:rsidRPr="005B78A7">
              <w:rPr>
                <w:rFonts w:ascii="Arial" w:hAnsi="Arial" w:cs="Arial"/>
              </w:rPr>
              <w:t xml:space="preserve"> </w:t>
            </w:r>
          </w:p>
          <w:p w14:paraId="227DA3BA" w14:textId="77777777" w:rsidR="003501F6" w:rsidRDefault="003501F6" w:rsidP="0097762A">
            <w:pPr>
              <w:pStyle w:val="ListParagraph"/>
              <w:numPr>
                <w:ilvl w:val="0"/>
                <w:numId w:val="14"/>
              </w:numPr>
              <w:rPr>
                <w:rFonts w:ascii="Arial" w:hAnsi="Arial" w:cs="Arial"/>
              </w:rPr>
            </w:pPr>
            <w:r w:rsidRPr="005B78A7">
              <w:rPr>
                <w:rFonts w:ascii="Arial" w:hAnsi="Arial" w:cs="Arial"/>
              </w:rPr>
              <w:t xml:space="preserve">There are repeated incidents or a risk of repeat incident(s) by the same person.  </w:t>
            </w:r>
          </w:p>
          <w:p w14:paraId="00D81414" w14:textId="188843C3" w:rsidR="003F7F27" w:rsidRPr="00F20352" w:rsidRDefault="003F7F27" w:rsidP="0097762A">
            <w:pPr>
              <w:pStyle w:val="ListParagraph"/>
              <w:numPr>
                <w:ilvl w:val="0"/>
                <w:numId w:val="14"/>
              </w:numPr>
              <w:rPr>
                <w:rFonts w:ascii="Arial" w:hAnsi="Arial" w:cs="Arial"/>
              </w:rPr>
            </w:pPr>
            <w:r w:rsidRPr="00F20352">
              <w:rPr>
                <w:rFonts w:ascii="Arial" w:hAnsi="Arial" w:cs="Arial"/>
              </w:rPr>
              <w:t>An adult experience</w:t>
            </w:r>
            <w:r w:rsidR="00432487" w:rsidRPr="00F20352">
              <w:rPr>
                <w:rFonts w:ascii="Arial" w:hAnsi="Arial" w:cs="Arial"/>
              </w:rPr>
              <w:t>s</w:t>
            </w:r>
            <w:r w:rsidRPr="00F20352">
              <w:rPr>
                <w:rFonts w:ascii="Arial" w:hAnsi="Arial" w:cs="Arial"/>
              </w:rPr>
              <w:t xml:space="preserve"> extreme psychological distress but no physical harm</w:t>
            </w:r>
            <w:r w:rsidR="00F20352" w:rsidRPr="00F20352">
              <w:rPr>
                <w:rFonts w:ascii="Arial" w:hAnsi="Arial" w:cs="Arial"/>
              </w:rPr>
              <w:t xml:space="preserve"> (</w:t>
            </w:r>
            <w:r w:rsidR="00432487" w:rsidRPr="00F20352">
              <w:rPr>
                <w:rFonts w:ascii="Arial" w:hAnsi="Arial" w:cs="Arial"/>
              </w:rPr>
              <w:t>there is the risk that</w:t>
            </w:r>
            <w:r w:rsidR="00F20352" w:rsidRPr="00F20352">
              <w:rPr>
                <w:rFonts w:ascii="Arial" w:hAnsi="Arial" w:cs="Arial"/>
              </w:rPr>
              <w:t xml:space="preserve"> a</w:t>
            </w:r>
            <w:r w:rsidRPr="00F20352">
              <w:rPr>
                <w:rFonts w:ascii="Arial" w:hAnsi="Arial" w:cs="Arial"/>
              </w:rPr>
              <w:t xml:space="preserve"> person may harm themselves </w:t>
            </w:r>
            <w:r w:rsidR="00F20352" w:rsidRPr="00F20352">
              <w:rPr>
                <w:rFonts w:ascii="Arial" w:hAnsi="Arial" w:cs="Arial"/>
              </w:rPr>
              <w:t>because of</w:t>
            </w:r>
            <w:r w:rsidRPr="00F20352">
              <w:rPr>
                <w:rFonts w:ascii="Arial" w:hAnsi="Arial" w:cs="Arial"/>
              </w:rPr>
              <w:t xml:space="preserve"> repeated ‘low level’ peer abuse.</w:t>
            </w:r>
            <w:r w:rsidR="00F20352" w:rsidRPr="00F20352">
              <w:rPr>
                <w:rFonts w:ascii="Arial" w:hAnsi="Arial" w:cs="Arial"/>
              </w:rPr>
              <w:t>)</w:t>
            </w:r>
          </w:p>
        </w:tc>
      </w:tr>
      <w:tr w:rsidR="0097762A" w:rsidRPr="005B78A7" w14:paraId="48EE017F" w14:textId="77777777" w:rsidTr="005B7CF2">
        <w:trPr>
          <w:gridAfter w:val="1"/>
          <w:wAfter w:w="14" w:type="dxa"/>
          <w:trHeight w:val="345"/>
        </w:trPr>
        <w:tc>
          <w:tcPr>
            <w:tcW w:w="14029" w:type="dxa"/>
            <w:gridSpan w:val="3"/>
            <w:shd w:val="clear" w:color="auto" w:fill="002060"/>
          </w:tcPr>
          <w:p w14:paraId="59A5CE73" w14:textId="6329273C" w:rsidR="0097762A" w:rsidRPr="005B78A7" w:rsidRDefault="00611EC8" w:rsidP="00E77D27">
            <w:pPr>
              <w:pStyle w:val="Heading1"/>
              <w:rPr>
                <w:rFonts w:ascii="Arial" w:hAnsi="Arial" w:cs="Arial"/>
              </w:rPr>
            </w:pPr>
            <w:bookmarkStart w:id="3" w:name="_Toc183025725"/>
            <w:r w:rsidRPr="005B78A7">
              <w:rPr>
                <w:rFonts w:ascii="Arial" w:hAnsi="Arial" w:cs="Arial"/>
              </w:rPr>
              <w:t>RISK OR NEAR MISS LINKED TO DIETARY REQUIREMENTS</w:t>
            </w:r>
            <w:bookmarkEnd w:id="3"/>
          </w:p>
        </w:tc>
      </w:tr>
      <w:tr w:rsidR="0097762A" w:rsidRPr="005B78A7" w14:paraId="617143DA" w14:textId="77777777" w:rsidTr="005B7CF2">
        <w:tblPrEx>
          <w:tblLook w:val="04A0" w:firstRow="1" w:lastRow="0" w:firstColumn="1" w:lastColumn="0" w:noHBand="0" w:noVBand="1"/>
        </w:tblPrEx>
        <w:trPr>
          <w:gridAfter w:val="1"/>
          <w:wAfter w:w="14" w:type="dxa"/>
        </w:trPr>
        <w:tc>
          <w:tcPr>
            <w:tcW w:w="6941" w:type="dxa"/>
            <w:gridSpan w:val="2"/>
            <w:shd w:val="clear" w:color="auto" w:fill="002060"/>
          </w:tcPr>
          <w:p w14:paraId="5EC002DA" w14:textId="586FF5C5" w:rsidR="0097762A" w:rsidRPr="005B78A7" w:rsidRDefault="006B073B" w:rsidP="0097762A">
            <w:pPr>
              <w:rPr>
                <w:rFonts w:ascii="Arial" w:hAnsi="Arial" w:cs="Arial"/>
              </w:rPr>
            </w:pPr>
            <w:r w:rsidRPr="005B78A7">
              <w:rPr>
                <w:rFonts w:ascii="Arial" w:hAnsi="Arial" w:cs="Arial"/>
              </w:rPr>
              <w:t>When to report using the</w:t>
            </w:r>
            <w:r w:rsidR="00D63A0C" w:rsidRPr="005B78A7">
              <w:rPr>
                <w:rFonts w:ascii="Arial" w:hAnsi="Arial" w:cs="Arial"/>
              </w:rPr>
              <w:t xml:space="preserve"> Non-Safeguarding Notification</w:t>
            </w:r>
            <w:r w:rsidRPr="005B78A7">
              <w:rPr>
                <w:rFonts w:ascii="Arial" w:hAnsi="Arial" w:cs="Arial"/>
              </w:rPr>
              <w:t xml:space="preserve"> Form</w:t>
            </w:r>
          </w:p>
        </w:tc>
        <w:tc>
          <w:tcPr>
            <w:tcW w:w="7088" w:type="dxa"/>
            <w:shd w:val="clear" w:color="auto" w:fill="002060"/>
          </w:tcPr>
          <w:p w14:paraId="073A44E2" w14:textId="103FE9EE" w:rsidR="0097762A" w:rsidRPr="005B78A7" w:rsidRDefault="002102F5" w:rsidP="0097762A">
            <w:pPr>
              <w:rPr>
                <w:rFonts w:ascii="Arial" w:hAnsi="Arial" w:cs="Arial"/>
              </w:rPr>
            </w:pPr>
            <w:r w:rsidRPr="005B78A7">
              <w:rPr>
                <w:rFonts w:ascii="Arial" w:hAnsi="Arial" w:cs="Arial"/>
              </w:rPr>
              <w:t>Examples of when a safeguarding concern should be raised. If you are unsure, consult with your Safeguarding Lead</w:t>
            </w:r>
          </w:p>
        </w:tc>
      </w:tr>
      <w:tr w:rsidR="0097762A" w:rsidRPr="005B78A7" w14:paraId="55CB58DD"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09EAD178" w14:textId="55AC83F8" w:rsidR="0097762A" w:rsidRPr="005B78A7" w:rsidRDefault="0097762A" w:rsidP="00CF496F">
            <w:pPr>
              <w:rPr>
                <w:rFonts w:ascii="Arial" w:hAnsi="Arial" w:cs="Arial"/>
              </w:rPr>
            </w:pPr>
            <w:r w:rsidRPr="005B78A7">
              <w:rPr>
                <w:rFonts w:ascii="Arial" w:hAnsi="Arial" w:cs="Arial"/>
              </w:rPr>
              <w:t>When an incident of poo</w:t>
            </w:r>
            <w:r w:rsidR="00CF496F" w:rsidRPr="005B78A7">
              <w:rPr>
                <w:rFonts w:ascii="Arial" w:hAnsi="Arial" w:cs="Arial"/>
              </w:rPr>
              <w:t xml:space="preserve">r recording of food and fluids </w:t>
            </w:r>
            <w:r w:rsidRPr="005B78A7">
              <w:rPr>
                <w:rFonts w:ascii="Arial" w:hAnsi="Arial" w:cs="Arial"/>
              </w:rPr>
              <w:t>has been made with dietary requirements and there is no harm to the adult at risk</w:t>
            </w:r>
          </w:p>
        </w:tc>
        <w:tc>
          <w:tcPr>
            <w:tcW w:w="7088" w:type="dxa"/>
            <w:shd w:val="clear" w:color="auto" w:fill="C5E0B3" w:themeFill="accent6" w:themeFillTint="66"/>
          </w:tcPr>
          <w:p w14:paraId="6755B344" w14:textId="77777777" w:rsidR="0097762A" w:rsidRPr="005B78A7" w:rsidRDefault="0097762A" w:rsidP="0097762A">
            <w:pPr>
              <w:pStyle w:val="ListParagraph"/>
              <w:numPr>
                <w:ilvl w:val="0"/>
                <w:numId w:val="13"/>
              </w:numPr>
              <w:rPr>
                <w:rFonts w:ascii="Arial" w:hAnsi="Arial" w:cs="Arial"/>
              </w:rPr>
            </w:pPr>
            <w:r w:rsidRPr="005B78A7">
              <w:rPr>
                <w:rFonts w:ascii="Arial" w:hAnsi="Arial" w:cs="Arial"/>
              </w:rPr>
              <w:t xml:space="preserve">There is a failure to provide nutrition and hydration to an adult at risk. </w:t>
            </w:r>
          </w:p>
          <w:p w14:paraId="5DCB349B" w14:textId="48450FC7" w:rsidR="0097762A" w:rsidRPr="005B78A7" w:rsidRDefault="0097762A" w:rsidP="0097762A">
            <w:pPr>
              <w:pStyle w:val="ListParagraph"/>
              <w:numPr>
                <w:ilvl w:val="0"/>
                <w:numId w:val="13"/>
              </w:numPr>
              <w:rPr>
                <w:rFonts w:ascii="Arial" w:hAnsi="Arial" w:cs="Arial"/>
              </w:rPr>
            </w:pPr>
            <w:r w:rsidRPr="005B78A7">
              <w:rPr>
                <w:rFonts w:ascii="Arial" w:hAnsi="Arial" w:cs="Arial"/>
              </w:rPr>
              <w:t xml:space="preserve">There is unexplained weight loss or the adult at risk is showing signs of </w:t>
            </w:r>
            <w:r w:rsidR="0030743B" w:rsidRPr="005B78A7">
              <w:rPr>
                <w:rFonts w:ascii="Arial" w:hAnsi="Arial" w:cs="Arial"/>
              </w:rPr>
              <w:t>dehydration,</w:t>
            </w:r>
            <w:r w:rsidRPr="005B78A7">
              <w:rPr>
                <w:rFonts w:ascii="Arial" w:hAnsi="Arial" w:cs="Arial"/>
              </w:rPr>
              <w:t xml:space="preserve"> and a support plan is not in place or has not been followed or no referral has been completed to the GP, Dietician, </w:t>
            </w:r>
            <w:r w:rsidR="00634AC4" w:rsidRPr="005B78A7">
              <w:rPr>
                <w:rFonts w:ascii="Arial" w:hAnsi="Arial" w:cs="Arial"/>
              </w:rPr>
              <w:t>Speech,</w:t>
            </w:r>
            <w:r w:rsidRPr="005B78A7">
              <w:rPr>
                <w:rFonts w:ascii="Arial" w:hAnsi="Arial" w:cs="Arial"/>
              </w:rPr>
              <w:t xml:space="preserve"> and Language Therapy.  </w:t>
            </w:r>
          </w:p>
          <w:p w14:paraId="36ECE8C5" w14:textId="1C605F8E" w:rsidR="00CF496F" w:rsidRPr="005B78A7" w:rsidRDefault="0097762A" w:rsidP="00CF496F">
            <w:pPr>
              <w:pStyle w:val="ListParagraph"/>
              <w:numPr>
                <w:ilvl w:val="0"/>
                <w:numId w:val="13"/>
              </w:numPr>
              <w:rPr>
                <w:rFonts w:ascii="Arial" w:hAnsi="Arial" w:cs="Arial"/>
              </w:rPr>
            </w:pPr>
            <w:r w:rsidRPr="005B78A7">
              <w:rPr>
                <w:rFonts w:ascii="Arial" w:hAnsi="Arial" w:cs="Arial"/>
              </w:rPr>
              <w:t xml:space="preserve">Where errors are made with dietary requirements </w:t>
            </w:r>
            <w:r w:rsidR="00DE1893" w:rsidRPr="005B78A7">
              <w:rPr>
                <w:rFonts w:ascii="Arial" w:hAnsi="Arial" w:cs="Arial"/>
              </w:rPr>
              <w:t xml:space="preserve">e.g. soft diet, </w:t>
            </w:r>
            <w:r w:rsidRPr="005B78A7">
              <w:rPr>
                <w:rFonts w:ascii="Arial" w:hAnsi="Arial" w:cs="Arial"/>
              </w:rPr>
              <w:t>thi</w:t>
            </w:r>
            <w:r w:rsidR="00DB1A46" w:rsidRPr="005B78A7">
              <w:rPr>
                <w:rFonts w:ascii="Arial" w:hAnsi="Arial" w:cs="Arial"/>
              </w:rPr>
              <w:t>ckened fluids</w:t>
            </w:r>
            <w:r w:rsidR="00DE1893" w:rsidRPr="005B78A7">
              <w:rPr>
                <w:rFonts w:ascii="Arial" w:hAnsi="Arial" w:cs="Arial"/>
              </w:rPr>
              <w:t xml:space="preserve">, </w:t>
            </w:r>
            <w:r w:rsidR="00634AC4" w:rsidRPr="005B78A7">
              <w:rPr>
                <w:rFonts w:ascii="Arial" w:hAnsi="Arial" w:cs="Arial"/>
              </w:rPr>
              <w:t>allergies,</w:t>
            </w:r>
            <w:r w:rsidR="00DB1A46" w:rsidRPr="005B78A7">
              <w:rPr>
                <w:rFonts w:ascii="Arial" w:hAnsi="Arial" w:cs="Arial"/>
              </w:rPr>
              <w:t xml:space="preserve"> or diabetic diet </w:t>
            </w:r>
            <w:r w:rsidR="00CF496F" w:rsidRPr="005B78A7">
              <w:rPr>
                <w:rFonts w:ascii="Arial" w:hAnsi="Arial" w:cs="Arial"/>
              </w:rPr>
              <w:t xml:space="preserve">to an extent </w:t>
            </w:r>
            <w:r w:rsidR="00476856" w:rsidRPr="005B78A7">
              <w:rPr>
                <w:rFonts w:ascii="Arial" w:hAnsi="Arial" w:cs="Arial"/>
              </w:rPr>
              <w:t xml:space="preserve">where it </w:t>
            </w:r>
            <w:r w:rsidR="00CF496F" w:rsidRPr="005B78A7">
              <w:rPr>
                <w:rFonts w:ascii="Arial" w:hAnsi="Arial" w:cs="Arial"/>
              </w:rPr>
              <w:t xml:space="preserve">may </w:t>
            </w:r>
            <w:r w:rsidR="0030743B" w:rsidRPr="005B78A7">
              <w:rPr>
                <w:rFonts w:ascii="Arial" w:hAnsi="Arial" w:cs="Arial"/>
              </w:rPr>
              <w:t>endanger</w:t>
            </w:r>
            <w:r w:rsidR="00CF496F" w:rsidRPr="005B78A7">
              <w:rPr>
                <w:rFonts w:ascii="Arial" w:hAnsi="Arial" w:cs="Arial"/>
              </w:rPr>
              <w:t xml:space="preserve"> safety or wellbeing</w:t>
            </w:r>
            <w:r w:rsidR="00476856" w:rsidRPr="005B78A7">
              <w:rPr>
                <w:rFonts w:ascii="Arial" w:hAnsi="Arial" w:cs="Arial"/>
              </w:rPr>
              <w:t xml:space="preserve"> of the person</w:t>
            </w:r>
            <w:r w:rsidR="00CF496F" w:rsidRPr="005B78A7">
              <w:rPr>
                <w:rFonts w:ascii="Arial" w:hAnsi="Arial" w:cs="Arial"/>
              </w:rPr>
              <w:t xml:space="preserve">. </w:t>
            </w:r>
          </w:p>
          <w:p w14:paraId="4CA786D7" w14:textId="6C28F964" w:rsidR="0097762A" w:rsidRPr="005B78A7" w:rsidRDefault="0097762A" w:rsidP="0097762A">
            <w:pPr>
              <w:pStyle w:val="ListParagraph"/>
              <w:numPr>
                <w:ilvl w:val="0"/>
                <w:numId w:val="13"/>
              </w:numPr>
              <w:rPr>
                <w:rFonts w:ascii="Arial" w:hAnsi="Arial" w:cs="Arial"/>
              </w:rPr>
            </w:pPr>
            <w:r w:rsidRPr="005B78A7">
              <w:rPr>
                <w:rFonts w:ascii="Arial" w:hAnsi="Arial" w:cs="Arial"/>
              </w:rPr>
              <w:t xml:space="preserve">Where an adult’s food/fluid charts have </w:t>
            </w:r>
            <w:r w:rsidR="00024B1E" w:rsidRPr="005B78A7">
              <w:rPr>
                <w:rFonts w:ascii="Arial" w:hAnsi="Arial" w:cs="Arial"/>
              </w:rPr>
              <w:t xml:space="preserve">not </w:t>
            </w:r>
            <w:r w:rsidRPr="005B78A7">
              <w:rPr>
                <w:rFonts w:ascii="Arial" w:hAnsi="Arial" w:cs="Arial"/>
              </w:rPr>
              <w:t>consistently been completed and specia</w:t>
            </w:r>
            <w:r w:rsidR="00476856" w:rsidRPr="005B78A7">
              <w:rPr>
                <w:rFonts w:ascii="Arial" w:hAnsi="Arial" w:cs="Arial"/>
              </w:rPr>
              <w:t xml:space="preserve">list advice has not been sought or followed. </w:t>
            </w:r>
            <w:r w:rsidRPr="005B78A7">
              <w:rPr>
                <w:rFonts w:ascii="Arial" w:hAnsi="Arial" w:cs="Arial"/>
              </w:rPr>
              <w:t xml:space="preserve"> </w:t>
            </w:r>
          </w:p>
          <w:p w14:paraId="17A9526A" w14:textId="5EB794E1" w:rsidR="0097762A" w:rsidRPr="005B78A7" w:rsidRDefault="0097762A" w:rsidP="0097762A">
            <w:pPr>
              <w:rPr>
                <w:rFonts w:ascii="Arial" w:hAnsi="Arial" w:cs="Arial"/>
              </w:rPr>
            </w:pPr>
          </w:p>
        </w:tc>
      </w:tr>
      <w:tr w:rsidR="00845C83" w:rsidRPr="005B78A7" w14:paraId="2814CDC4" w14:textId="77777777" w:rsidTr="005B7CF2">
        <w:trPr>
          <w:gridAfter w:val="1"/>
          <w:wAfter w:w="14" w:type="dxa"/>
          <w:trHeight w:val="210"/>
        </w:trPr>
        <w:tc>
          <w:tcPr>
            <w:tcW w:w="14029" w:type="dxa"/>
            <w:gridSpan w:val="3"/>
            <w:shd w:val="clear" w:color="auto" w:fill="002060"/>
          </w:tcPr>
          <w:p w14:paraId="44A5CF76" w14:textId="65D08D2E" w:rsidR="00845C83" w:rsidRPr="005B78A7" w:rsidRDefault="00845C83" w:rsidP="002E0721">
            <w:pPr>
              <w:pStyle w:val="Heading1"/>
              <w:rPr>
                <w:rFonts w:ascii="Arial" w:hAnsi="Arial" w:cs="Arial"/>
              </w:rPr>
            </w:pPr>
            <w:bookmarkStart w:id="4" w:name="_Toc183025726"/>
            <w:r w:rsidRPr="005B78A7">
              <w:rPr>
                <w:rFonts w:ascii="Arial" w:hAnsi="Arial" w:cs="Arial"/>
              </w:rPr>
              <w:t>MEDICATION</w:t>
            </w:r>
            <w:r w:rsidR="00D838FE" w:rsidRPr="005B78A7">
              <w:rPr>
                <w:rFonts w:ascii="Arial" w:hAnsi="Arial" w:cs="Arial"/>
              </w:rPr>
              <w:t xml:space="preserve"> MANAGEMENT</w:t>
            </w:r>
            <w:bookmarkEnd w:id="4"/>
          </w:p>
        </w:tc>
      </w:tr>
      <w:tr w:rsidR="00845C83" w:rsidRPr="005B78A7" w14:paraId="1E40CF01" w14:textId="77777777" w:rsidTr="005B7CF2">
        <w:tblPrEx>
          <w:tblLook w:val="04A0" w:firstRow="1" w:lastRow="0" w:firstColumn="1" w:lastColumn="0" w:noHBand="0" w:noVBand="1"/>
        </w:tblPrEx>
        <w:trPr>
          <w:gridAfter w:val="1"/>
          <w:wAfter w:w="14" w:type="dxa"/>
        </w:trPr>
        <w:tc>
          <w:tcPr>
            <w:tcW w:w="6941" w:type="dxa"/>
            <w:gridSpan w:val="2"/>
            <w:shd w:val="clear" w:color="auto" w:fill="002060"/>
          </w:tcPr>
          <w:p w14:paraId="4126A142" w14:textId="2A6B1444" w:rsidR="00845C83" w:rsidRPr="005B78A7" w:rsidRDefault="00FD7893" w:rsidP="00BF28B8">
            <w:pPr>
              <w:rPr>
                <w:rFonts w:ascii="Arial" w:hAnsi="Arial" w:cs="Arial"/>
              </w:rPr>
            </w:pPr>
            <w:r w:rsidRPr="005B78A7">
              <w:rPr>
                <w:rFonts w:ascii="Arial" w:hAnsi="Arial" w:cs="Arial"/>
              </w:rPr>
              <w:t>When to report using the</w:t>
            </w:r>
            <w:r w:rsidR="003306D5" w:rsidRPr="005B78A7">
              <w:rPr>
                <w:rFonts w:ascii="Arial" w:hAnsi="Arial" w:cs="Arial"/>
              </w:rPr>
              <w:t xml:space="preserve"> Non-Safeguarding Notification</w:t>
            </w:r>
            <w:r w:rsidRPr="005B78A7">
              <w:rPr>
                <w:rFonts w:ascii="Arial" w:hAnsi="Arial" w:cs="Arial"/>
              </w:rPr>
              <w:t xml:space="preserve"> Form</w:t>
            </w:r>
          </w:p>
        </w:tc>
        <w:tc>
          <w:tcPr>
            <w:tcW w:w="7088" w:type="dxa"/>
            <w:shd w:val="clear" w:color="auto" w:fill="002060"/>
          </w:tcPr>
          <w:p w14:paraId="02053EA4" w14:textId="734A7145" w:rsidR="00845C83" w:rsidRPr="005B78A7" w:rsidRDefault="002102F5" w:rsidP="00BF28B8">
            <w:pPr>
              <w:rPr>
                <w:rFonts w:ascii="Arial" w:hAnsi="Arial" w:cs="Arial"/>
              </w:rPr>
            </w:pPr>
            <w:r w:rsidRPr="005B78A7">
              <w:rPr>
                <w:rFonts w:ascii="Arial" w:hAnsi="Arial" w:cs="Arial"/>
              </w:rPr>
              <w:t>Examples of when a safeguarding concern should be raised. If you are unsure, consult with your Safeguarding Lead</w:t>
            </w:r>
          </w:p>
        </w:tc>
      </w:tr>
      <w:tr w:rsidR="00845C83" w:rsidRPr="005B78A7" w14:paraId="3C74181E" w14:textId="77777777" w:rsidTr="005B7CF2">
        <w:tblPrEx>
          <w:tblLook w:val="04A0" w:firstRow="1" w:lastRow="0" w:firstColumn="1" w:lastColumn="0" w:noHBand="0" w:noVBand="1"/>
        </w:tblPrEx>
        <w:trPr>
          <w:gridAfter w:val="1"/>
          <w:wAfter w:w="14" w:type="dxa"/>
          <w:trHeight w:val="1125"/>
        </w:trPr>
        <w:tc>
          <w:tcPr>
            <w:tcW w:w="6941" w:type="dxa"/>
            <w:gridSpan w:val="2"/>
            <w:shd w:val="clear" w:color="auto" w:fill="FFE599" w:themeFill="accent4" w:themeFillTint="66"/>
          </w:tcPr>
          <w:p w14:paraId="37522066" w14:textId="000150CC" w:rsidR="00845C83" w:rsidRPr="005B78A7" w:rsidRDefault="00845C83" w:rsidP="00BF28B8">
            <w:pPr>
              <w:pStyle w:val="ListParagraph"/>
              <w:numPr>
                <w:ilvl w:val="0"/>
                <w:numId w:val="29"/>
              </w:numPr>
              <w:rPr>
                <w:rFonts w:ascii="Arial" w:hAnsi="Arial" w:cs="Arial"/>
              </w:rPr>
            </w:pPr>
            <w:r w:rsidRPr="005B78A7">
              <w:rPr>
                <w:rFonts w:ascii="Arial" w:hAnsi="Arial" w:cs="Arial"/>
              </w:rPr>
              <w:t xml:space="preserve">Person does not receive prescribed medication (missed/wrong dose) on one occasion – no harm </w:t>
            </w:r>
            <w:r w:rsidR="0030743B" w:rsidRPr="005B78A7">
              <w:rPr>
                <w:rFonts w:ascii="Arial" w:hAnsi="Arial" w:cs="Arial"/>
              </w:rPr>
              <w:t>occurs,</w:t>
            </w:r>
            <w:r w:rsidRPr="005B78A7">
              <w:rPr>
                <w:rFonts w:ascii="Arial" w:hAnsi="Arial" w:cs="Arial"/>
              </w:rPr>
              <w:t xml:space="preserve"> and appropriate action has been taken and this is an isolated incident.</w:t>
            </w:r>
          </w:p>
          <w:p w14:paraId="64B1BB06" w14:textId="77777777" w:rsidR="00845C83" w:rsidRPr="005B78A7" w:rsidRDefault="00845C83" w:rsidP="00BF28B8">
            <w:pPr>
              <w:pStyle w:val="ListParagraph"/>
              <w:numPr>
                <w:ilvl w:val="0"/>
                <w:numId w:val="29"/>
              </w:numPr>
              <w:rPr>
                <w:rFonts w:ascii="Arial" w:hAnsi="Arial" w:cs="Arial"/>
              </w:rPr>
            </w:pPr>
            <w:r w:rsidRPr="005B78A7">
              <w:rPr>
                <w:rFonts w:ascii="Arial" w:hAnsi="Arial" w:cs="Arial"/>
              </w:rPr>
              <w:t>Repeated errors or delays in administration of medicines because of consistent failure to maintain professional standards, where it does not affect the person or there is no harm to the individual. However, there may be the requirement to review the member of staff’s competency.</w:t>
            </w:r>
          </w:p>
          <w:p w14:paraId="1160CA72" w14:textId="77777777" w:rsidR="00845C83" w:rsidRPr="005B78A7" w:rsidRDefault="00845C83" w:rsidP="00BF28B8">
            <w:pPr>
              <w:pStyle w:val="ListParagraph"/>
              <w:numPr>
                <w:ilvl w:val="0"/>
                <w:numId w:val="29"/>
              </w:numPr>
              <w:rPr>
                <w:rFonts w:ascii="Arial" w:hAnsi="Arial" w:cs="Arial"/>
              </w:rPr>
            </w:pPr>
            <w:r w:rsidRPr="005B78A7">
              <w:rPr>
                <w:rFonts w:ascii="Arial" w:hAnsi="Arial" w:cs="Arial"/>
              </w:rPr>
              <w:t xml:space="preserve">When a domiciliary care provider own policy does not meet NICE guidelines. </w:t>
            </w:r>
          </w:p>
          <w:p w14:paraId="49433528" w14:textId="77777777" w:rsidR="00845C83" w:rsidRPr="005B78A7" w:rsidRDefault="00845C83" w:rsidP="00BF28B8">
            <w:pPr>
              <w:pStyle w:val="ListParagraph"/>
              <w:numPr>
                <w:ilvl w:val="0"/>
                <w:numId w:val="29"/>
              </w:numPr>
              <w:rPr>
                <w:rFonts w:ascii="Arial" w:hAnsi="Arial" w:cs="Arial"/>
              </w:rPr>
            </w:pPr>
            <w:r w:rsidRPr="005B78A7">
              <w:rPr>
                <w:rFonts w:ascii="Arial" w:hAnsi="Arial" w:cs="Arial"/>
              </w:rPr>
              <w:t>Medication stored inappropriately (care home setting only)</w:t>
            </w:r>
          </w:p>
        </w:tc>
        <w:tc>
          <w:tcPr>
            <w:tcW w:w="7088" w:type="dxa"/>
            <w:shd w:val="clear" w:color="auto" w:fill="C5E0B3" w:themeFill="accent6" w:themeFillTint="66"/>
          </w:tcPr>
          <w:p w14:paraId="325B0CC9" w14:textId="1A282E05" w:rsidR="00845C83" w:rsidRPr="005D29F8" w:rsidRDefault="00845C83" w:rsidP="00766FEB">
            <w:pPr>
              <w:pStyle w:val="ListParagraph"/>
              <w:numPr>
                <w:ilvl w:val="0"/>
                <w:numId w:val="24"/>
              </w:numPr>
              <w:ind w:left="322"/>
              <w:rPr>
                <w:rFonts w:ascii="Arial" w:hAnsi="Arial" w:cs="Arial"/>
              </w:rPr>
            </w:pPr>
            <w:r w:rsidRPr="005D29F8">
              <w:rPr>
                <w:rFonts w:ascii="Arial" w:hAnsi="Arial" w:cs="Arial"/>
              </w:rPr>
              <w:t>The adult at risk is subjected to deliberate withholding of prescribed medication with no medical reason.</w:t>
            </w:r>
          </w:p>
          <w:p w14:paraId="12A68378" w14:textId="5A0DAF2F" w:rsidR="00F55303" w:rsidRPr="005B78A7" w:rsidRDefault="00F55303" w:rsidP="00766FEB">
            <w:pPr>
              <w:pStyle w:val="ListParagraph"/>
              <w:numPr>
                <w:ilvl w:val="0"/>
                <w:numId w:val="24"/>
              </w:numPr>
              <w:ind w:left="322"/>
              <w:rPr>
                <w:rFonts w:ascii="Arial" w:hAnsi="Arial" w:cs="Arial"/>
              </w:rPr>
            </w:pPr>
            <w:r w:rsidRPr="00F55303">
              <w:rPr>
                <w:rFonts w:ascii="Arial" w:hAnsi="Arial" w:cs="Arial"/>
              </w:rPr>
              <w:t>A medicines administration error which results in physical or psychological harm to the person</w:t>
            </w:r>
          </w:p>
          <w:p w14:paraId="6A0638E8" w14:textId="77777777" w:rsidR="00845C83" w:rsidRPr="005B78A7" w:rsidRDefault="00845C83" w:rsidP="00766FEB">
            <w:pPr>
              <w:pStyle w:val="ListParagraph"/>
              <w:numPr>
                <w:ilvl w:val="0"/>
                <w:numId w:val="18"/>
              </w:numPr>
              <w:ind w:left="322" w:hanging="357"/>
              <w:rPr>
                <w:rFonts w:ascii="Arial" w:hAnsi="Arial" w:cs="Arial"/>
              </w:rPr>
            </w:pPr>
            <w:r w:rsidRPr="005B78A7">
              <w:rPr>
                <w:rFonts w:ascii="Arial" w:hAnsi="Arial" w:cs="Arial"/>
              </w:rPr>
              <w:t xml:space="preserve">Failing to report or document a medicines administration error, according to the organisations’ policy and procedure, </w:t>
            </w:r>
          </w:p>
          <w:p w14:paraId="0BC21DD6" w14:textId="53F7D522" w:rsidR="00845C83" w:rsidRPr="005B78A7" w:rsidRDefault="00845C83" w:rsidP="00766FEB">
            <w:pPr>
              <w:pStyle w:val="ListParagraph"/>
              <w:numPr>
                <w:ilvl w:val="0"/>
                <w:numId w:val="18"/>
              </w:numPr>
              <w:ind w:left="322" w:hanging="357"/>
              <w:rPr>
                <w:rFonts w:ascii="Arial" w:hAnsi="Arial" w:cs="Arial"/>
              </w:rPr>
            </w:pPr>
            <w:r w:rsidRPr="005B78A7">
              <w:rPr>
                <w:rFonts w:ascii="Arial" w:hAnsi="Arial" w:cs="Arial"/>
              </w:rPr>
              <w:t xml:space="preserve">Deliberate falsification of records </w:t>
            </w:r>
            <w:r w:rsidR="00634AC4" w:rsidRPr="005B78A7">
              <w:rPr>
                <w:rFonts w:ascii="Arial" w:hAnsi="Arial" w:cs="Arial"/>
              </w:rPr>
              <w:t>to</w:t>
            </w:r>
            <w:r w:rsidRPr="005B78A7">
              <w:rPr>
                <w:rFonts w:ascii="Arial" w:hAnsi="Arial" w:cs="Arial"/>
              </w:rPr>
              <w:t xml:space="preserve"> cover up a medicines administration error.</w:t>
            </w:r>
          </w:p>
          <w:p w14:paraId="30FF5064" w14:textId="3F6AB0C2" w:rsidR="00845C83" w:rsidRPr="005B78A7" w:rsidRDefault="00845C83" w:rsidP="00766FEB">
            <w:pPr>
              <w:pStyle w:val="ListParagraph"/>
              <w:numPr>
                <w:ilvl w:val="0"/>
                <w:numId w:val="18"/>
              </w:numPr>
              <w:ind w:left="322" w:hanging="357"/>
              <w:rPr>
                <w:rFonts w:ascii="Arial" w:hAnsi="Arial" w:cs="Arial"/>
              </w:rPr>
            </w:pPr>
            <w:r w:rsidRPr="005B78A7">
              <w:rPr>
                <w:rFonts w:ascii="Arial" w:hAnsi="Arial" w:cs="Arial"/>
              </w:rPr>
              <w:t xml:space="preserve">Failing to monitor the persons’ condition or seek appropriate medical advice and support following medicines administration error e.g. pain </w:t>
            </w:r>
            <w:r w:rsidR="0030743B" w:rsidRPr="005B78A7">
              <w:rPr>
                <w:rFonts w:ascii="Arial" w:hAnsi="Arial" w:cs="Arial"/>
              </w:rPr>
              <w:t>management.</w:t>
            </w:r>
            <w:r w:rsidRPr="005B78A7">
              <w:rPr>
                <w:rFonts w:ascii="Arial" w:hAnsi="Arial" w:cs="Arial"/>
              </w:rPr>
              <w:t xml:space="preserve"> </w:t>
            </w:r>
          </w:p>
          <w:p w14:paraId="75ACDBCB" w14:textId="77777777" w:rsidR="00845C83" w:rsidRPr="005B78A7" w:rsidRDefault="00845C83" w:rsidP="00766FEB">
            <w:pPr>
              <w:pStyle w:val="ListParagraph"/>
              <w:numPr>
                <w:ilvl w:val="0"/>
                <w:numId w:val="18"/>
              </w:numPr>
              <w:ind w:left="322" w:hanging="357"/>
              <w:rPr>
                <w:rFonts w:ascii="Arial" w:hAnsi="Arial" w:cs="Arial"/>
              </w:rPr>
            </w:pPr>
            <w:r w:rsidRPr="005B78A7">
              <w:rPr>
                <w:rFonts w:ascii="Arial" w:hAnsi="Arial" w:cs="Arial"/>
              </w:rPr>
              <w:t>A deliberate attempt to harm or threaten an adult at risk through use of a medicine, including intentional over sedation.</w:t>
            </w:r>
          </w:p>
          <w:p w14:paraId="38129893" w14:textId="7314C73E" w:rsidR="00737D5E" w:rsidRPr="005B78A7" w:rsidRDefault="00737D5E" w:rsidP="00766FEB">
            <w:pPr>
              <w:pStyle w:val="ListParagraph"/>
              <w:numPr>
                <w:ilvl w:val="0"/>
                <w:numId w:val="18"/>
              </w:numPr>
              <w:ind w:left="322" w:hanging="357"/>
              <w:rPr>
                <w:rFonts w:ascii="Arial" w:hAnsi="Arial" w:cs="Arial"/>
              </w:rPr>
            </w:pPr>
            <w:r w:rsidRPr="005B78A7">
              <w:rPr>
                <w:rStyle w:val="cf01"/>
                <w:rFonts w:ascii="Arial" w:hAnsi="Arial" w:cs="Arial"/>
                <w:sz w:val="22"/>
                <w:szCs w:val="22"/>
              </w:rPr>
              <w:t>Covert medication administration without documented best interest decision and written authorisation from the GP and with DoLS/DoL authorisation in place (or applied for).</w:t>
            </w:r>
          </w:p>
        </w:tc>
      </w:tr>
      <w:tr w:rsidR="002C1B4F" w:rsidRPr="005B78A7" w14:paraId="3F79E6B6" w14:textId="77777777" w:rsidTr="005B7CF2">
        <w:trPr>
          <w:gridAfter w:val="1"/>
          <w:wAfter w:w="14" w:type="dxa"/>
          <w:trHeight w:val="330"/>
        </w:trPr>
        <w:tc>
          <w:tcPr>
            <w:tcW w:w="14029" w:type="dxa"/>
            <w:gridSpan w:val="3"/>
            <w:shd w:val="clear" w:color="auto" w:fill="002060"/>
          </w:tcPr>
          <w:p w14:paraId="6A93B454" w14:textId="3770CD21" w:rsidR="002C1B4F" w:rsidRPr="005B78A7" w:rsidRDefault="002C1B4F" w:rsidP="002E0721">
            <w:pPr>
              <w:pStyle w:val="Heading1"/>
              <w:rPr>
                <w:rFonts w:ascii="Arial" w:hAnsi="Arial" w:cs="Arial"/>
              </w:rPr>
            </w:pPr>
            <w:bookmarkStart w:id="5" w:name="_Toc183025727"/>
            <w:r w:rsidRPr="005B78A7">
              <w:rPr>
                <w:rFonts w:ascii="Arial" w:hAnsi="Arial" w:cs="Arial"/>
              </w:rPr>
              <w:t>MISSED VISIT</w:t>
            </w:r>
            <w:bookmarkEnd w:id="5"/>
          </w:p>
        </w:tc>
      </w:tr>
      <w:tr w:rsidR="002C1B4F" w:rsidRPr="005B78A7" w14:paraId="347F3B0E" w14:textId="77777777" w:rsidTr="005B7CF2">
        <w:tblPrEx>
          <w:tblLook w:val="04A0" w:firstRow="1" w:lastRow="0" w:firstColumn="1" w:lastColumn="0" w:noHBand="0" w:noVBand="1"/>
        </w:tblPrEx>
        <w:trPr>
          <w:gridAfter w:val="1"/>
          <w:wAfter w:w="14" w:type="dxa"/>
        </w:trPr>
        <w:tc>
          <w:tcPr>
            <w:tcW w:w="6941" w:type="dxa"/>
            <w:gridSpan w:val="2"/>
            <w:shd w:val="clear" w:color="auto" w:fill="002060"/>
          </w:tcPr>
          <w:p w14:paraId="4294B90C" w14:textId="6C21B00B" w:rsidR="002C1B4F" w:rsidRPr="005B78A7" w:rsidRDefault="00FD7893" w:rsidP="00BF28B8">
            <w:pPr>
              <w:rPr>
                <w:rFonts w:ascii="Arial" w:hAnsi="Arial" w:cs="Arial"/>
              </w:rPr>
            </w:pPr>
            <w:r w:rsidRPr="005B78A7">
              <w:rPr>
                <w:rFonts w:ascii="Arial" w:hAnsi="Arial" w:cs="Arial"/>
              </w:rPr>
              <w:t>When to report using the</w:t>
            </w:r>
            <w:r w:rsidR="003306D5" w:rsidRPr="005B78A7">
              <w:rPr>
                <w:rFonts w:ascii="Arial" w:hAnsi="Arial" w:cs="Arial"/>
              </w:rPr>
              <w:t xml:space="preserve"> Non-Safeguarding Notification</w:t>
            </w:r>
            <w:r w:rsidRPr="005B78A7">
              <w:rPr>
                <w:rFonts w:ascii="Arial" w:hAnsi="Arial" w:cs="Arial"/>
              </w:rPr>
              <w:t xml:space="preserve"> Form</w:t>
            </w:r>
          </w:p>
        </w:tc>
        <w:tc>
          <w:tcPr>
            <w:tcW w:w="7088" w:type="dxa"/>
            <w:shd w:val="clear" w:color="auto" w:fill="002060"/>
          </w:tcPr>
          <w:p w14:paraId="5E8BCE89" w14:textId="2FCF25AE" w:rsidR="002C1B4F" w:rsidRPr="005B78A7" w:rsidRDefault="002102F5" w:rsidP="00BF28B8">
            <w:pPr>
              <w:rPr>
                <w:rFonts w:ascii="Arial" w:hAnsi="Arial" w:cs="Arial"/>
              </w:rPr>
            </w:pPr>
            <w:r w:rsidRPr="005B78A7">
              <w:rPr>
                <w:rFonts w:ascii="Arial" w:hAnsi="Arial" w:cs="Arial"/>
              </w:rPr>
              <w:t>Examples of when a safeguarding concern should be raised. If you are unsure, consult with your Safeguarding Lead</w:t>
            </w:r>
          </w:p>
        </w:tc>
      </w:tr>
      <w:tr w:rsidR="002C1B4F" w:rsidRPr="005B78A7" w14:paraId="4E610632"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10096766" w14:textId="77777777" w:rsidR="002C1B4F" w:rsidRPr="005B78A7" w:rsidRDefault="002C1B4F" w:rsidP="00BF28B8">
            <w:pPr>
              <w:rPr>
                <w:rFonts w:ascii="Arial" w:hAnsi="Arial" w:cs="Arial"/>
              </w:rPr>
            </w:pPr>
            <w:r w:rsidRPr="005B78A7">
              <w:rPr>
                <w:rFonts w:ascii="Arial" w:hAnsi="Arial" w:cs="Arial"/>
              </w:rPr>
              <w:t xml:space="preserve">When a visit is missed and there is a reasonable explanation provided to the adult at risk and there has been no adverse effect to the adult at risk. </w:t>
            </w:r>
          </w:p>
        </w:tc>
        <w:tc>
          <w:tcPr>
            <w:tcW w:w="7088" w:type="dxa"/>
            <w:shd w:val="clear" w:color="auto" w:fill="C5E0B3" w:themeFill="accent6" w:themeFillTint="66"/>
          </w:tcPr>
          <w:p w14:paraId="53D06954" w14:textId="2B6E811C" w:rsidR="002C1B4F" w:rsidRPr="005B78A7" w:rsidRDefault="002C1B4F" w:rsidP="002C1B4F">
            <w:pPr>
              <w:pStyle w:val="ListParagraph"/>
              <w:numPr>
                <w:ilvl w:val="0"/>
                <w:numId w:val="20"/>
              </w:numPr>
              <w:ind w:left="760" w:hanging="357"/>
              <w:rPr>
                <w:rFonts w:ascii="Arial" w:hAnsi="Arial" w:cs="Arial"/>
              </w:rPr>
            </w:pPr>
            <w:r w:rsidRPr="005B78A7">
              <w:rPr>
                <w:rFonts w:ascii="Arial" w:hAnsi="Arial" w:cs="Arial"/>
              </w:rPr>
              <w:t>A planned visit is missed</w:t>
            </w:r>
            <w:r w:rsidR="00DA53DB">
              <w:rPr>
                <w:rFonts w:ascii="Arial" w:hAnsi="Arial" w:cs="Arial"/>
              </w:rPr>
              <w:t>,</w:t>
            </w:r>
            <w:r w:rsidRPr="005B78A7">
              <w:rPr>
                <w:rFonts w:ascii="Arial" w:hAnsi="Arial" w:cs="Arial"/>
              </w:rPr>
              <w:t xml:space="preserve"> and this has an adverse effect on the adult at risk. </w:t>
            </w:r>
          </w:p>
          <w:p w14:paraId="7D659AF9" w14:textId="61442098" w:rsidR="002C1B4F" w:rsidRPr="005B78A7" w:rsidRDefault="002C1B4F" w:rsidP="002C1B4F">
            <w:pPr>
              <w:pStyle w:val="ListParagraph"/>
              <w:numPr>
                <w:ilvl w:val="0"/>
                <w:numId w:val="20"/>
              </w:numPr>
              <w:ind w:left="760" w:hanging="357"/>
              <w:rPr>
                <w:rFonts w:ascii="Arial" w:hAnsi="Arial" w:cs="Arial"/>
              </w:rPr>
            </w:pPr>
            <w:r w:rsidRPr="005B78A7">
              <w:rPr>
                <w:rFonts w:ascii="Arial" w:hAnsi="Arial" w:cs="Arial"/>
              </w:rPr>
              <w:t xml:space="preserve">Where repeat missed visits to an adult at risk, </w:t>
            </w:r>
            <w:r w:rsidR="00DA53DB" w:rsidRPr="005B78A7">
              <w:rPr>
                <w:rFonts w:ascii="Arial" w:hAnsi="Arial" w:cs="Arial"/>
              </w:rPr>
              <w:t>whether</w:t>
            </w:r>
            <w:r w:rsidRPr="005B78A7">
              <w:rPr>
                <w:rFonts w:ascii="Arial" w:hAnsi="Arial" w:cs="Arial"/>
              </w:rPr>
              <w:t xml:space="preserve"> an adverse effect has resulted, as this could indicate neglectful care and there may be others at risk. </w:t>
            </w:r>
          </w:p>
          <w:p w14:paraId="6D93B87B" w14:textId="77777777" w:rsidR="003306D5" w:rsidRPr="005B78A7" w:rsidRDefault="003306D5" w:rsidP="003306D5">
            <w:pPr>
              <w:rPr>
                <w:rFonts w:ascii="Arial" w:hAnsi="Arial" w:cs="Arial"/>
              </w:rPr>
            </w:pPr>
          </w:p>
          <w:p w14:paraId="01B7216D" w14:textId="77777777" w:rsidR="003306D5" w:rsidRPr="005B78A7" w:rsidRDefault="003306D5" w:rsidP="003306D5">
            <w:pPr>
              <w:rPr>
                <w:rFonts w:ascii="Arial" w:hAnsi="Arial" w:cs="Arial"/>
              </w:rPr>
            </w:pPr>
          </w:p>
          <w:p w14:paraId="6C88760F" w14:textId="77777777" w:rsidR="003306D5" w:rsidRPr="005B78A7" w:rsidRDefault="003306D5" w:rsidP="003306D5">
            <w:pPr>
              <w:rPr>
                <w:rFonts w:ascii="Arial" w:hAnsi="Arial" w:cs="Arial"/>
              </w:rPr>
            </w:pPr>
          </w:p>
          <w:p w14:paraId="33C23C0A" w14:textId="77777777" w:rsidR="003306D5" w:rsidRPr="005B78A7" w:rsidRDefault="003306D5" w:rsidP="003306D5">
            <w:pPr>
              <w:rPr>
                <w:rFonts w:ascii="Arial" w:hAnsi="Arial" w:cs="Arial"/>
              </w:rPr>
            </w:pPr>
          </w:p>
          <w:p w14:paraId="5BF4202D" w14:textId="77777777" w:rsidR="003306D5" w:rsidRPr="005B78A7" w:rsidRDefault="003306D5" w:rsidP="003306D5">
            <w:pPr>
              <w:rPr>
                <w:rFonts w:ascii="Arial" w:hAnsi="Arial" w:cs="Arial"/>
              </w:rPr>
            </w:pPr>
          </w:p>
          <w:p w14:paraId="3DF72C08" w14:textId="77777777" w:rsidR="002C1B4F" w:rsidRPr="005B78A7" w:rsidRDefault="002C1B4F" w:rsidP="00BF28B8">
            <w:pPr>
              <w:rPr>
                <w:rFonts w:ascii="Arial" w:hAnsi="Arial" w:cs="Arial"/>
              </w:rPr>
            </w:pPr>
          </w:p>
        </w:tc>
      </w:tr>
      <w:tr w:rsidR="00432052" w:rsidRPr="005B78A7" w14:paraId="5B1557C0" w14:textId="77777777" w:rsidTr="005B7CF2">
        <w:trPr>
          <w:gridAfter w:val="1"/>
          <w:wAfter w:w="14" w:type="dxa"/>
          <w:trHeight w:val="300"/>
        </w:trPr>
        <w:tc>
          <w:tcPr>
            <w:tcW w:w="14029" w:type="dxa"/>
            <w:gridSpan w:val="3"/>
            <w:shd w:val="clear" w:color="auto" w:fill="002060"/>
          </w:tcPr>
          <w:p w14:paraId="71C9858D" w14:textId="77777777" w:rsidR="00432052" w:rsidRPr="005B78A7" w:rsidRDefault="00432052" w:rsidP="002E0721">
            <w:pPr>
              <w:pStyle w:val="Heading1"/>
              <w:rPr>
                <w:rFonts w:ascii="Arial" w:hAnsi="Arial" w:cs="Arial"/>
              </w:rPr>
            </w:pPr>
            <w:bookmarkStart w:id="6" w:name="_Toc183025728"/>
            <w:r w:rsidRPr="005B78A7">
              <w:rPr>
                <w:rFonts w:ascii="Arial" w:hAnsi="Arial" w:cs="Arial"/>
              </w:rPr>
              <w:t>MOVING AND HANDLING</w:t>
            </w:r>
            <w:bookmarkEnd w:id="6"/>
          </w:p>
        </w:tc>
      </w:tr>
      <w:tr w:rsidR="00432052" w:rsidRPr="005B78A7" w14:paraId="22FB8170" w14:textId="77777777" w:rsidTr="005B7CF2">
        <w:tblPrEx>
          <w:tblLook w:val="04A0" w:firstRow="1" w:lastRow="0" w:firstColumn="1" w:lastColumn="0" w:noHBand="0" w:noVBand="1"/>
        </w:tblPrEx>
        <w:trPr>
          <w:gridAfter w:val="1"/>
          <w:wAfter w:w="14" w:type="dxa"/>
        </w:trPr>
        <w:tc>
          <w:tcPr>
            <w:tcW w:w="6941" w:type="dxa"/>
            <w:gridSpan w:val="2"/>
            <w:shd w:val="clear" w:color="auto" w:fill="002060"/>
          </w:tcPr>
          <w:p w14:paraId="5CD43F62" w14:textId="4B3D08C8" w:rsidR="00432052" w:rsidRPr="005B78A7" w:rsidRDefault="00FD7893" w:rsidP="00BF28B8">
            <w:pPr>
              <w:rPr>
                <w:rFonts w:ascii="Arial" w:hAnsi="Arial" w:cs="Arial"/>
              </w:rPr>
            </w:pPr>
            <w:r w:rsidRPr="005B78A7">
              <w:rPr>
                <w:rFonts w:ascii="Arial" w:hAnsi="Arial" w:cs="Arial"/>
              </w:rPr>
              <w:t>When to report using the</w:t>
            </w:r>
            <w:r w:rsidR="003306D5" w:rsidRPr="005B78A7">
              <w:rPr>
                <w:rFonts w:ascii="Arial" w:hAnsi="Arial" w:cs="Arial"/>
              </w:rPr>
              <w:t xml:space="preserve"> Non-Safeguarding Notification</w:t>
            </w:r>
            <w:r w:rsidRPr="005B78A7">
              <w:rPr>
                <w:rFonts w:ascii="Arial" w:hAnsi="Arial" w:cs="Arial"/>
              </w:rPr>
              <w:t xml:space="preserve"> Form</w:t>
            </w:r>
          </w:p>
        </w:tc>
        <w:tc>
          <w:tcPr>
            <w:tcW w:w="7088" w:type="dxa"/>
            <w:shd w:val="clear" w:color="auto" w:fill="002060"/>
          </w:tcPr>
          <w:p w14:paraId="55907C40" w14:textId="52FF82C3" w:rsidR="00432052" w:rsidRPr="005B78A7" w:rsidRDefault="002102F5" w:rsidP="00BF28B8">
            <w:pPr>
              <w:rPr>
                <w:rFonts w:ascii="Arial" w:hAnsi="Arial" w:cs="Arial"/>
              </w:rPr>
            </w:pPr>
            <w:r w:rsidRPr="005B78A7">
              <w:rPr>
                <w:rFonts w:ascii="Arial" w:hAnsi="Arial" w:cs="Arial"/>
              </w:rPr>
              <w:t>Examples of when a safeguarding concern should be raised. If you are unsure, consult with your Safeguarding Lead</w:t>
            </w:r>
          </w:p>
        </w:tc>
      </w:tr>
      <w:tr w:rsidR="00432052" w:rsidRPr="005B78A7" w14:paraId="4A048FCF"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25A16587" w14:textId="77777777" w:rsidR="00432052" w:rsidRPr="005B78A7" w:rsidRDefault="00432052" w:rsidP="00BF28B8">
            <w:pPr>
              <w:rPr>
                <w:rFonts w:ascii="Arial" w:hAnsi="Arial" w:cs="Arial"/>
              </w:rPr>
            </w:pPr>
            <w:r w:rsidRPr="005B78A7">
              <w:rPr>
                <w:rFonts w:ascii="Arial" w:hAnsi="Arial" w:cs="Arial"/>
              </w:rPr>
              <w:t>Where equipment is being used that does not meet the lifting operations and lifting equipment regulations 1998 (LOLER, 1998); provision and use of work equipment regulations 1998 (PUWER, 1998). These regulations relate to regular service and checks of equipment. NB a hoist legally has to be checked every 6 months by a competent person, it should be recorded what immediate action has been taken if the service is out of date.</w:t>
            </w:r>
          </w:p>
        </w:tc>
        <w:tc>
          <w:tcPr>
            <w:tcW w:w="7088" w:type="dxa"/>
            <w:shd w:val="clear" w:color="auto" w:fill="C5E0B3" w:themeFill="accent6" w:themeFillTint="66"/>
          </w:tcPr>
          <w:p w14:paraId="3BC0BC97" w14:textId="003C1075" w:rsidR="00432052" w:rsidRPr="005B78A7" w:rsidRDefault="00432052" w:rsidP="00BF28B8">
            <w:pPr>
              <w:pStyle w:val="ListParagraph"/>
              <w:numPr>
                <w:ilvl w:val="0"/>
                <w:numId w:val="24"/>
              </w:numPr>
              <w:rPr>
                <w:rFonts w:ascii="Arial" w:hAnsi="Arial" w:cs="Arial"/>
              </w:rPr>
            </w:pPr>
            <w:r w:rsidRPr="005B78A7">
              <w:rPr>
                <w:rFonts w:ascii="Arial" w:hAnsi="Arial" w:cs="Arial"/>
              </w:rPr>
              <w:t xml:space="preserve">Where there is no Moving and Handling Risk Assessment and where identified a Moving and Handling plan to manage the risks is </w:t>
            </w:r>
            <w:r w:rsidR="00DA53DB" w:rsidRPr="005B78A7">
              <w:rPr>
                <w:rFonts w:ascii="Arial" w:hAnsi="Arial" w:cs="Arial"/>
              </w:rPr>
              <w:t>required but</w:t>
            </w:r>
            <w:r w:rsidRPr="005B78A7">
              <w:rPr>
                <w:rFonts w:ascii="Arial" w:hAnsi="Arial" w:cs="Arial"/>
              </w:rPr>
              <w:t xml:space="preserve"> has not been completed.  </w:t>
            </w:r>
          </w:p>
          <w:p w14:paraId="6C0FD0CF" w14:textId="77777777" w:rsidR="00432052" w:rsidRPr="005B78A7" w:rsidRDefault="00432052" w:rsidP="00BF28B8">
            <w:pPr>
              <w:pStyle w:val="ListParagraph"/>
              <w:numPr>
                <w:ilvl w:val="0"/>
                <w:numId w:val="24"/>
              </w:numPr>
              <w:rPr>
                <w:rFonts w:ascii="Arial" w:hAnsi="Arial" w:cs="Arial"/>
              </w:rPr>
            </w:pPr>
            <w:r w:rsidRPr="005B78A7">
              <w:rPr>
                <w:rFonts w:ascii="Arial" w:hAnsi="Arial" w:cs="Arial"/>
              </w:rPr>
              <w:t xml:space="preserve">Where there is failure to follow a Moving and Handling plan and this is having an adverse effect on the adult with care and support needs e.g. using the wrong equipment, failure to provide equipment, “sitting on slings” etc. (N.B. Unless they are specialised in “situ slings” that are specifically designed to stay in place and have had a suitable assessment re skin integrity) </w:t>
            </w:r>
          </w:p>
          <w:p w14:paraId="35CA7AE1" w14:textId="77777777" w:rsidR="00432052" w:rsidRPr="005B78A7" w:rsidRDefault="00432052" w:rsidP="00BF28B8">
            <w:pPr>
              <w:pStyle w:val="ListParagraph"/>
              <w:numPr>
                <w:ilvl w:val="0"/>
                <w:numId w:val="24"/>
              </w:numPr>
              <w:rPr>
                <w:rFonts w:ascii="Arial" w:hAnsi="Arial" w:cs="Arial"/>
              </w:rPr>
            </w:pPr>
            <w:r w:rsidRPr="005B78A7">
              <w:rPr>
                <w:rFonts w:ascii="Arial" w:hAnsi="Arial" w:cs="Arial"/>
              </w:rPr>
              <w:t>Where an injury has occurred due to poor moving and handling practice</w:t>
            </w:r>
          </w:p>
          <w:p w14:paraId="33D8CFF2" w14:textId="65F18FFF" w:rsidR="00432052" w:rsidRPr="005B78A7" w:rsidRDefault="00432052" w:rsidP="00BF28B8">
            <w:pPr>
              <w:pStyle w:val="ListParagraph"/>
              <w:numPr>
                <w:ilvl w:val="0"/>
                <w:numId w:val="24"/>
              </w:numPr>
              <w:rPr>
                <w:rFonts w:ascii="Arial" w:hAnsi="Arial" w:cs="Arial"/>
              </w:rPr>
            </w:pPr>
            <w:r w:rsidRPr="005B78A7">
              <w:rPr>
                <w:rFonts w:ascii="Arial" w:hAnsi="Arial" w:cs="Arial"/>
              </w:rPr>
              <w:t xml:space="preserve">Where any of the following condemned techniques are </w:t>
            </w:r>
            <w:r w:rsidR="00DA53DB" w:rsidRPr="005B78A7">
              <w:rPr>
                <w:rFonts w:ascii="Arial" w:hAnsi="Arial" w:cs="Arial"/>
              </w:rPr>
              <w:t>used.</w:t>
            </w:r>
          </w:p>
          <w:p w14:paraId="1FAE5853" w14:textId="77777777" w:rsidR="00432052" w:rsidRPr="005B78A7" w:rsidRDefault="00432052" w:rsidP="00BF28B8">
            <w:pPr>
              <w:pStyle w:val="ListParagraph"/>
              <w:numPr>
                <w:ilvl w:val="0"/>
                <w:numId w:val="21"/>
              </w:numPr>
              <w:ind w:left="1491" w:hanging="357"/>
              <w:rPr>
                <w:rFonts w:ascii="Arial" w:hAnsi="Arial" w:cs="Arial"/>
              </w:rPr>
            </w:pPr>
            <w:r w:rsidRPr="005B78A7">
              <w:rPr>
                <w:rFonts w:ascii="Arial" w:hAnsi="Arial" w:cs="Arial"/>
              </w:rPr>
              <w:t xml:space="preserve">Drag lift/underarm drag. </w:t>
            </w:r>
          </w:p>
          <w:p w14:paraId="7E7F20B8" w14:textId="77777777" w:rsidR="00432052" w:rsidRPr="005B78A7" w:rsidRDefault="00432052" w:rsidP="00BF28B8">
            <w:pPr>
              <w:pStyle w:val="ListParagraph"/>
              <w:numPr>
                <w:ilvl w:val="0"/>
                <w:numId w:val="21"/>
              </w:numPr>
              <w:ind w:left="1491" w:hanging="357"/>
              <w:rPr>
                <w:rFonts w:ascii="Arial" w:hAnsi="Arial" w:cs="Arial"/>
              </w:rPr>
            </w:pPr>
            <w:r w:rsidRPr="005B78A7">
              <w:rPr>
                <w:rFonts w:ascii="Arial" w:hAnsi="Arial" w:cs="Arial"/>
              </w:rPr>
              <w:t xml:space="preserve">Shoulder/Australian lift. </w:t>
            </w:r>
          </w:p>
          <w:p w14:paraId="6E17385D" w14:textId="77777777" w:rsidR="00432052" w:rsidRPr="005B78A7" w:rsidRDefault="00432052" w:rsidP="00BF28B8">
            <w:pPr>
              <w:pStyle w:val="ListParagraph"/>
              <w:numPr>
                <w:ilvl w:val="0"/>
                <w:numId w:val="21"/>
              </w:numPr>
              <w:ind w:left="1491" w:hanging="357"/>
              <w:rPr>
                <w:rFonts w:ascii="Arial" w:hAnsi="Arial" w:cs="Arial"/>
              </w:rPr>
            </w:pPr>
            <w:r w:rsidRPr="005B78A7">
              <w:rPr>
                <w:rFonts w:ascii="Arial" w:hAnsi="Arial" w:cs="Arial"/>
              </w:rPr>
              <w:t xml:space="preserve">Through arm/hammock lift. </w:t>
            </w:r>
          </w:p>
          <w:p w14:paraId="0BDA3C01" w14:textId="77777777" w:rsidR="00432052" w:rsidRPr="005B78A7" w:rsidRDefault="00432052" w:rsidP="00BF28B8">
            <w:pPr>
              <w:pStyle w:val="ListParagraph"/>
              <w:numPr>
                <w:ilvl w:val="0"/>
                <w:numId w:val="21"/>
              </w:numPr>
              <w:ind w:left="1491" w:hanging="357"/>
              <w:rPr>
                <w:rFonts w:ascii="Arial" w:hAnsi="Arial" w:cs="Arial"/>
              </w:rPr>
            </w:pPr>
            <w:r w:rsidRPr="005B78A7">
              <w:rPr>
                <w:rFonts w:ascii="Arial" w:hAnsi="Arial" w:cs="Arial"/>
              </w:rPr>
              <w:t xml:space="preserve">Two sling lift. </w:t>
            </w:r>
          </w:p>
          <w:p w14:paraId="4E3C9B59" w14:textId="77777777" w:rsidR="00432052" w:rsidRPr="005B78A7" w:rsidRDefault="00432052" w:rsidP="00BF28B8">
            <w:pPr>
              <w:pStyle w:val="ListParagraph"/>
              <w:numPr>
                <w:ilvl w:val="0"/>
                <w:numId w:val="21"/>
              </w:numPr>
              <w:ind w:left="1491" w:hanging="357"/>
              <w:rPr>
                <w:rFonts w:ascii="Arial" w:hAnsi="Arial" w:cs="Arial"/>
              </w:rPr>
            </w:pPr>
            <w:r w:rsidRPr="005B78A7">
              <w:rPr>
                <w:rFonts w:ascii="Arial" w:hAnsi="Arial" w:cs="Arial"/>
              </w:rPr>
              <w:t xml:space="preserve">Unorthodox lift. </w:t>
            </w:r>
          </w:p>
          <w:p w14:paraId="06208CE3" w14:textId="77777777" w:rsidR="00432052" w:rsidRPr="005B78A7" w:rsidRDefault="00432052" w:rsidP="00BF28B8">
            <w:pPr>
              <w:pStyle w:val="ListParagraph"/>
              <w:numPr>
                <w:ilvl w:val="0"/>
                <w:numId w:val="21"/>
              </w:numPr>
              <w:ind w:left="1491" w:hanging="357"/>
              <w:rPr>
                <w:rFonts w:ascii="Arial" w:hAnsi="Arial" w:cs="Arial"/>
              </w:rPr>
            </w:pPr>
            <w:r w:rsidRPr="005B78A7">
              <w:rPr>
                <w:rFonts w:ascii="Arial" w:hAnsi="Arial" w:cs="Arial"/>
              </w:rPr>
              <w:t xml:space="preserve">Bear hug transfer/front assist stand. </w:t>
            </w:r>
          </w:p>
          <w:p w14:paraId="29C994FE" w14:textId="77777777" w:rsidR="00432052" w:rsidRPr="005B78A7" w:rsidRDefault="00432052" w:rsidP="00BF28B8">
            <w:pPr>
              <w:pStyle w:val="ListParagraph"/>
              <w:numPr>
                <w:ilvl w:val="0"/>
                <w:numId w:val="21"/>
              </w:numPr>
              <w:ind w:left="1491" w:hanging="357"/>
              <w:rPr>
                <w:rFonts w:ascii="Arial" w:hAnsi="Arial" w:cs="Arial"/>
              </w:rPr>
            </w:pPr>
            <w:r w:rsidRPr="005B78A7">
              <w:rPr>
                <w:rFonts w:ascii="Arial" w:hAnsi="Arial" w:cs="Arial"/>
              </w:rPr>
              <w:t xml:space="preserve">Assistance walking supporting at underarm. </w:t>
            </w:r>
          </w:p>
          <w:p w14:paraId="3565946A" w14:textId="77777777" w:rsidR="00432052" w:rsidRPr="005B78A7" w:rsidRDefault="00432052" w:rsidP="00BF28B8">
            <w:pPr>
              <w:pStyle w:val="ListParagraph"/>
              <w:numPr>
                <w:ilvl w:val="0"/>
                <w:numId w:val="21"/>
              </w:numPr>
              <w:ind w:left="1491" w:hanging="357"/>
              <w:rPr>
                <w:rFonts w:ascii="Arial" w:hAnsi="Arial" w:cs="Arial"/>
              </w:rPr>
            </w:pPr>
            <w:r w:rsidRPr="005B78A7">
              <w:rPr>
                <w:rFonts w:ascii="Arial" w:hAnsi="Arial" w:cs="Arial"/>
              </w:rPr>
              <w:t xml:space="preserve">Flip turn. </w:t>
            </w:r>
          </w:p>
          <w:p w14:paraId="14FB6C92" w14:textId="276FC125" w:rsidR="00432052" w:rsidRPr="005B78A7" w:rsidRDefault="00432052" w:rsidP="00BF28B8">
            <w:pPr>
              <w:pStyle w:val="ListParagraph"/>
              <w:numPr>
                <w:ilvl w:val="0"/>
                <w:numId w:val="35"/>
              </w:numPr>
              <w:rPr>
                <w:rFonts w:ascii="Arial" w:hAnsi="Arial" w:cs="Arial"/>
              </w:rPr>
            </w:pPr>
            <w:r w:rsidRPr="005B78A7">
              <w:rPr>
                <w:rFonts w:ascii="Arial" w:hAnsi="Arial" w:cs="Arial"/>
              </w:rPr>
              <w:t xml:space="preserve">Where a person is using a wheelchair where there is no appropriate risk assessment in place or one is not followed regarding the correct use of the wheelchair, lap belt and </w:t>
            </w:r>
            <w:r w:rsidR="00DA53DB" w:rsidRPr="005B78A7">
              <w:rPr>
                <w:rFonts w:ascii="Arial" w:hAnsi="Arial" w:cs="Arial"/>
              </w:rPr>
              <w:t>footrests</w:t>
            </w:r>
            <w:r w:rsidRPr="005B78A7">
              <w:rPr>
                <w:rFonts w:ascii="Arial" w:hAnsi="Arial" w:cs="Arial"/>
              </w:rPr>
              <w:t xml:space="preserve">. </w:t>
            </w:r>
          </w:p>
          <w:p w14:paraId="0C80CA26" w14:textId="77777777" w:rsidR="00432052" w:rsidRPr="005B78A7" w:rsidRDefault="00432052" w:rsidP="00BF28B8">
            <w:pPr>
              <w:pStyle w:val="ListParagraph"/>
              <w:numPr>
                <w:ilvl w:val="0"/>
                <w:numId w:val="35"/>
              </w:numPr>
              <w:rPr>
                <w:rFonts w:ascii="Arial" w:hAnsi="Arial" w:cs="Arial"/>
              </w:rPr>
            </w:pPr>
            <w:r w:rsidRPr="005B78A7">
              <w:rPr>
                <w:rFonts w:ascii="Arial" w:hAnsi="Arial" w:cs="Arial"/>
              </w:rPr>
              <w:t xml:space="preserve">Where poor moving and handling techniques are being used on a repeat basis across the service. </w:t>
            </w:r>
          </w:p>
          <w:p w14:paraId="4553FC67" w14:textId="77777777" w:rsidR="00432052" w:rsidRPr="005B78A7" w:rsidRDefault="00432052" w:rsidP="00BF28B8">
            <w:pPr>
              <w:rPr>
                <w:rFonts w:ascii="Arial" w:hAnsi="Arial" w:cs="Arial"/>
              </w:rPr>
            </w:pPr>
          </w:p>
          <w:p w14:paraId="18A673E1" w14:textId="77777777" w:rsidR="002E0721" w:rsidRPr="005B78A7" w:rsidRDefault="002E0721" w:rsidP="00BF28B8">
            <w:pPr>
              <w:rPr>
                <w:rFonts w:ascii="Arial" w:hAnsi="Arial" w:cs="Arial"/>
              </w:rPr>
            </w:pPr>
          </w:p>
          <w:p w14:paraId="6AF22810" w14:textId="77777777" w:rsidR="002E0721" w:rsidRPr="005B78A7" w:rsidRDefault="002E0721" w:rsidP="00BF28B8">
            <w:pPr>
              <w:rPr>
                <w:rFonts w:ascii="Arial" w:hAnsi="Arial" w:cs="Arial"/>
              </w:rPr>
            </w:pPr>
          </w:p>
          <w:p w14:paraId="4CE0CA53" w14:textId="77777777" w:rsidR="002E0721" w:rsidRPr="005B78A7" w:rsidRDefault="002E0721" w:rsidP="00BF28B8">
            <w:pPr>
              <w:rPr>
                <w:rFonts w:ascii="Arial" w:hAnsi="Arial" w:cs="Arial"/>
              </w:rPr>
            </w:pPr>
          </w:p>
          <w:p w14:paraId="3DBECB17" w14:textId="77777777" w:rsidR="002E0721" w:rsidRPr="005B78A7" w:rsidRDefault="002E0721" w:rsidP="00BF28B8">
            <w:pPr>
              <w:rPr>
                <w:rFonts w:ascii="Arial" w:hAnsi="Arial" w:cs="Arial"/>
              </w:rPr>
            </w:pPr>
          </w:p>
          <w:p w14:paraId="43D7D49E" w14:textId="77777777" w:rsidR="002E0721" w:rsidRPr="005B78A7" w:rsidRDefault="002E0721" w:rsidP="00BF28B8">
            <w:pPr>
              <w:rPr>
                <w:rFonts w:ascii="Arial" w:hAnsi="Arial" w:cs="Arial"/>
              </w:rPr>
            </w:pPr>
          </w:p>
        </w:tc>
      </w:tr>
      <w:tr w:rsidR="004C666A" w:rsidRPr="005B78A7" w14:paraId="72940510" w14:textId="77777777" w:rsidTr="005B7CF2">
        <w:trPr>
          <w:gridAfter w:val="1"/>
          <w:wAfter w:w="14" w:type="dxa"/>
          <w:trHeight w:val="315"/>
        </w:trPr>
        <w:tc>
          <w:tcPr>
            <w:tcW w:w="14029" w:type="dxa"/>
            <w:gridSpan w:val="3"/>
            <w:shd w:val="clear" w:color="auto" w:fill="002060"/>
          </w:tcPr>
          <w:p w14:paraId="70908039" w14:textId="77777777" w:rsidR="004C666A" w:rsidRPr="005B78A7" w:rsidRDefault="004C666A" w:rsidP="002E0721">
            <w:pPr>
              <w:pStyle w:val="Heading1"/>
              <w:rPr>
                <w:rFonts w:ascii="Arial" w:hAnsi="Arial" w:cs="Arial"/>
              </w:rPr>
            </w:pPr>
            <w:bookmarkStart w:id="7" w:name="_Toc183025729"/>
            <w:r w:rsidRPr="005B78A7">
              <w:rPr>
                <w:rFonts w:ascii="Arial" w:hAnsi="Arial" w:cs="Arial"/>
              </w:rPr>
              <w:t>PRESSURE AREA CARE</w:t>
            </w:r>
            <w:bookmarkEnd w:id="7"/>
          </w:p>
        </w:tc>
      </w:tr>
      <w:tr w:rsidR="004C666A" w:rsidRPr="005B78A7" w14:paraId="12AB5419" w14:textId="77777777" w:rsidTr="005B7CF2">
        <w:tblPrEx>
          <w:tblLook w:val="04A0" w:firstRow="1" w:lastRow="0" w:firstColumn="1" w:lastColumn="0" w:noHBand="0" w:noVBand="1"/>
        </w:tblPrEx>
        <w:trPr>
          <w:gridAfter w:val="1"/>
          <w:wAfter w:w="14" w:type="dxa"/>
        </w:trPr>
        <w:tc>
          <w:tcPr>
            <w:tcW w:w="6941" w:type="dxa"/>
            <w:gridSpan w:val="2"/>
            <w:shd w:val="clear" w:color="auto" w:fill="002060"/>
          </w:tcPr>
          <w:p w14:paraId="3393287B" w14:textId="59EE423B" w:rsidR="004C666A" w:rsidRPr="005B78A7" w:rsidRDefault="00FD7893" w:rsidP="00BF28B8">
            <w:pPr>
              <w:rPr>
                <w:rFonts w:ascii="Arial" w:hAnsi="Arial" w:cs="Arial"/>
              </w:rPr>
            </w:pPr>
            <w:r w:rsidRPr="005B78A7">
              <w:rPr>
                <w:rFonts w:ascii="Arial" w:hAnsi="Arial" w:cs="Arial"/>
              </w:rPr>
              <w:t xml:space="preserve">When to report using the </w:t>
            </w:r>
            <w:r w:rsidR="003306D5" w:rsidRPr="005B78A7">
              <w:rPr>
                <w:rFonts w:ascii="Arial" w:hAnsi="Arial" w:cs="Arial"/>
              </w:rPr>
              <w:t xml:space="preserve">Non-Safeguarding Notification </w:t>
            </w:r>
            <w:r w:rsidRPr="005B78A7">
              <w:rPr>
                <w:rFonts w:ascii="Arial" w:hAnsi="Arial" w:cs="Arial"/>
              </w:rPr>
              <w:t>Form</w:t>
            </w:r>
          </w:p>
        </w:tc>
        <w:tc>
          <w:tcPr>
            <w:tcW w:w="7088" w:type="dxa"/>
            <w:shd w:val="clear" w:color="auto" w:fill="002060"/>
          </w:tcPr>
          <w:p w14:paraId="2F84BF4A" w14:textId="076FB5D2" w:rsidR="004C666A" w:rsidRPr="005B78A7" w:rsidRDefault="002102F5" w:rsidP="00BF28B8">
            <w:pPr>
              <w:rPr>
                <w:rFonts w:ascii="Arial" w:hAnsi="Arial" w:cs="Arial"/>
              </w:rPr>
            </w:pPr>
            <w:r w:rsidRPr="005B78A7">
              <w:rPr>
                <w:rFonts w:ascii="Arial" w:hAnsi="Arial" w:cs="Arial"/>
              </w:rPr>
              <w:t>Examples of when a safeguarding concern should be raised. If you are unsure, consult with your Safeguarding Lead</w:t>
            </w:r>
          </w:p>
        </w:tc>
      </w:tr>
      <w:tr w:rsidR="004C666A" w:rsidRPr="005B78A7" w14:paraId="19A74C95"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51C6113B" w14:textId="6504B4C6" w:rsidR="004C666A" w:rsidRPr="005B78A7" w:rsidRDefault="004C666A" w:rsidP="00BF28B8">
            <w:pPr>
              <w:rPr>
                <w:rFonts w:ascii="Arial" w:hAnsi="Arial" w:cs="Arial"/>
                <w:strike/>
              </w:rPr>
            </w:pPr>
            <w:r w:rsidRPr="005B78A7">
              <w:rPr>
                <w:rFonts w:ascii="Arial" w:hAnsi="Arial" w:cs="Arial"/>
              </w:rPr>
              <w:t xml:space="preserve">No requirement to complete a </w:t>
            </w:r>
            <w:r w:rsidR="00CF0108" w:rsidRPr="005B78A7">
              <w:rPr>
                <w:rFonts w:ascii="Arial" w:hAnsi="Arial" w:cs="Arial"/>
              </w:rPr>
              <w:t xml:space="preserve">Non-Safeguarding Notification </w:t>
            </w:r>
            <w:r w:rsidR="00FD7893" w:rsidRPr="005B78A7">
              <w:rPr>
                <w:rFonts w:ascii="Arial" w:hAnsi="Arial" w:cs="Arial"/>
              </w:rPr>
              <w:t>Form</w:t>
            </w:r>
          </w:p>
        </w:tc>
        <w:tc>
          <w:tcPr>
            <w:tcW w:w="7088" w:type="dxa"/>
            <w:shd w:val="clear" w:color="auto" w:fill="C5E0B3" w:themeFill="accent6" w:themeFillTint="66"/>
          </w:tcPr>
          <w:p w14:paraId="20BF46CF" w14:textId="77777777" w:rsidR="004C666A" w:rsidRPr="005B78A7" w:rsidRDefault="004C666A" w:rsidP="00737D5E">
            <w:pPr>
              <w:rPr>
                <w:rFonts w:ascii="Arial" w:hAnsi="Arial" w:cs="Arial"/>
              </w:rPr>
            </w:pPr>
            <w:r w:rsidRPr="005B78A7">
              <w:rPr>
                <w:rFonts w:ascii="Arial" w:hAnsi="Arial" w:cs="Arial"/>
                <w:highlight w:val="yellow"/>
              </w:rPr>
              <w:t xml:space="preserve">Please refer to the Pressure Ulcer Protocol and Safeguarding guidance: </w:t>
            </w:r>
          </w:p>
          <w:p w14:paraId="5E020632" w14:textId="23E5DEDC" w:rsidR="002E0721" w:rsidRPr="005B78A7" w:rsidRDefault="0074532A" w:rsidP="00737D5E">
            <w:pPr>
              <w:rPr>
                <w:rFonts w:ascii="Arial" w:hAnsi="Arial" w:cs="Arial"/>
              </w:rPr>
            </w:pPr>
            <w:hyperlink r:id="rId15" w:history="1">
              <w:r w:rsidR="002E0721" w:rsidRPr="005B78A7">
                <w:rPr>
                  <w:rStyle w:val="Hyperlink"/>
                  <w:rFonts w:ascii="Arial" w:hAnsi="Arial" w:cs="Arial"/>
                </w:rPr>
                <w:t>https://www.gov.uk/government/publications/pressure-ulcers-how-to-safeguard-adults</w:t>
              </w:r>
            </w:hyperlink>
          </w:p>
          <w:p w14:paraId="4689D765" w14:textId="77777777" w:rsidR="002E0721" w:rsidRPr="005B78A7" w:rsidRDefault="002E0721" w:rsidP="00737D5E">
            <w:pPr>
              <w:rPr>
                <w:rFonts w:ascii="Arial" w:hAnsi="Arial" w:cs="Arial"/>
              </w:rPr>
            </w:pPr>
          </w:p>
          <w:p w14:paraId="1E45CBBF" w14:textId="77777777" w:rsidR="002E0721" w:rsidRPr="005B78A7" w:rsidRDefault="002E0721" w:rsidP="00737D5E">
            <w:pPr>
              <w:rPr>
                <w:rFonts w:ascii="Arial" w:hAnsi="Arial" w:cs="Arial"/>
              </w:rPr>
            </w:pPr>
          </w:p>
          <w:p w14:paraId="4AE6F73A" w14:textId="3E3104D8" w:rsidR="002E0721" w:rsidRPr="005B78A7" w:rsidRDefault="002E0721" w:rsidP="00737D5E">
            <w:pPr>
              <w:rPr>
                <w:rFonts w:ascii="Arial" w:hAnsi="Arial" w:cs="Arial"/>
              </w:rPr>
            </w:pPr>
          </w:p>
        </w:tc>
      </w:tr>
      <w:tr w:rsidR="00E974DB" w:rsidRPr="005B78A7" w14:paraId="555907F9" w14:textId="77777777" w:rsidTr="005B7CF2">
        <w:trPr>
          <w:gridAfter w:val="1"/>
          <w:wAfter w:w="14" w:type="dxa"/>
          <w:trHeight w:val="405"/>
        </w:trPr>
        <w:tc>
          <w:tcPr>
            <w:tcW w:w="14029" w:type="dxa"/>
            <w:gridSpan w:val="3"/>
            <w:shd w:val="clear" w:color="auto" w:fill="002060"/>
          </w:tcPr>
          <w:p w14:paraId="47A9BA33" w14:textId="5915D6FA" w:rsidR="00E974DB" w:rsidRPr="005B78A7" w:rsidRDefault="00E974DB" w:rsidP="002E0721">
            <w:pPr>
              <w:pStyle w:val="Heading1"/>
              <w:rPr>
                <w:rFonts w:ascii="Arial" w:hAnsi="Arial" w:cs="Arial"/>
              </w:rPr>
            </w:pPr>
          </w:p>
        </w:tc>
      </w:tr>
      <w:tr w:rsidR="00E974DB" w:rsidRPr="005B78A7" w14:paraId="09CAE6BB" w14:textId="77777777" w:rsidTr="005B7CF2">
        <w:tblPrEx>
          <w:tblLook w:val="04A0" w:firstRow="1" w:lastRow="0" w:firstColumn="1" w:lastColumn="0" w:noHBand="0" w:noVBand="1"/>
        </w:tblPrEx>
        <w:trPr>
          <w:gridAfter w:val="1"/>
          <w:wAfter w:w="14" w:type="dxa"/>
        </w:trPr>
        <w:tc>
          <w:tcPr>
            <w:tcW w:w="6941" w:type="dxa"/>
            <w:gridSpan w:val="2"/>
            <w:shd w:val="clear" w:color="auto" w:fill="002060"/>
          </w:tcPr>
          <w:p w14:paraId="5393C64E" w14:textId="65405C62" w:rsidR="00E974DB" w:rsidRPr="005B78A7" w:rsidRDefault="00E974DB" w:rsidP="00BF28B8">
            <w:pPr>
              <w:rPr>
                <w:rFonts w:ascii="Arial" w:hAnsi="Arial" w:cs="Arial"/>
              </w:rPr>
            </w:pPr>
          </w:p>
        </w:tc>
        <w:tc>
          <w:tcPr>
            <w:tcW w:w="7088" w:type="dxa"/>
            <w:shd w:val="clear" w:color="auto" w:fill="002060"/>
          </w:tcPr>
          <w:p w14:paraId="672B78EC" w14:textId="5B68F9B4" w:rsidR="00E974DB" w:rsidRPr="005B78A7" w:rsidRDefault="00E974DB" w:rsidP="00BF28B8">
            <w:pPr>
              <w:rPr>
                <w:rFonts w:ascii="Arial" w:hAnsi="Arial" w:cs="Arial"/>
              </w:rPr>
            </w:pPr>
          </w:p>
        </w:tc>
      </w:tr>
      <w:tr w:rsidR="00E974DB" w:rsidRPr="005B78A7" w14:paraId="2C0D4AB4"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4802441D" w14:textId="71250E50" w:rsidR="00E974DB" w:rsidRPr="005B78A7" w:rsidRDefault="00E974DB" w:rsidP="00BF28B8">
            <w:pPr>
              <w:rPr>
                <w:rFonts w:ascii="Arial" w:hAnsi="Arial" w:cs="Arial"/>
              </w:rPr>
            </w:pPr>
          </w:p>
        </w:tc>
        <w:tc>
          <w:tcPr>
            <w:tcW w:w="7088" w:type="dxa"/>
            <w:shd w:val="clear" w:color="auto" w:fill="C5E0B3" w:themeFill="accent6" w:themeFillTint="66"/>
          </w:tcPr>
          <w:p w14:paraId="74B3AD53" w14:textId="77777777" w:rsidR="00E974DB" w:rsidRPr="005B78A7" w:rsidRDefault="00E974DB" w:rsidP="00BF28B8">
            <w:pPr>
              <w:rPr>
                <w:rFonts w:ascii="Arial" w:hAnsi="Arial" w:cs="Arial"/>
              </w:rPr>
            </w:pPr>
          </w:p>
        </w:tc>
      </w:tr>
      <w:tr w:rsidR="00E974DB" w:rsidRPr="005B78A7" w14:paraId="7E46A639" w14:textId="77777777" w:rsidTr="005B7CF2">
        <w:trPr>
          <w:gridAfter w:val="1"/>
          <w:wAfter w:w="14" w:type="dxa"/>
          <w:trHeight w:val="405"/>
        </w:trPr>
        <w:tc>
          <w:tcPr>
            <w:tcW w:w="14029" w:type="dxa"/>
            <w:gridSpan w:val="3"/>
            <w:shd w:val="clear" w:color="auto" w:fill="002060"/>
          </w:tcPr>
          <w:p w14:paraId="14F7B77B" w14:textId="635C8D22" w:rsidR="00E974DB" w:rsidRPr="005B78A7" w:rsidRDefault="00E974DB" w:rsidP="002E0721">
            <w:pPr>
              <w:pStyle w:val="Heading1"/>
              <w:rPr>
                <w:rFonts w:ascii="Arial" w:hAnsi="Arial" w:cs="Arial"/>
              </w:rPr>
            </w:pPr>
            <w:bookmarkStart w:id="8" w:name="_Toc183025730"/>
            <w:r w:rsidRPr="005B78A7">
              <w:rPr>
                <w:rFonts w:ascii="Arial" w:hAnsi="Arial" w:cs="Arial"/>
              </w:rPr>
              <w:t>CHOKING INCIDENT</w:t>
            </w:r>
            <w:bookmarkEnd w:id="8"/>
            <w:r w:rsidRPr="005B78A7">
              <w:rPr>
                <w:rFonts w:ascii="Arial" w:hAnsi="Arial" w:cs="Arial"/>
              </w:rPr>
              <w:t xml:space="preserve"> </w:t>
            </w:r>
          </w:p>
        </w:tc>
      </w:tr>
      <w:tr w:rsidR="00E974DB" w:rsidRPr="005B78A7" w14:paraId="7C361DE1" w14:textId="77777777" w:rsidTr="005B7CF2">
        <w:tblPrEx>
          <w:tblLook w:val="04A0" w:firstRow="1" w:lastRow="0" w:firstColumn="1" w:lastColumn="0" w:noHBand="0" w:noVBand="1"/>
        </w:tblPrEx>
        <w:trPr>
          <w:gridAfter w:val="1"/>
          <w:wAfter w:w="14" w:type="dxa"/>
        </w:trPr>
        <w:tc>
          <w:tcPr>
            <w:tcW w:w="6941" w:type="dxa"/>
            <w:gridSpan w:val="2"/>
            <w:shd w:val="clear" w:color="auto" w:fill="002060"/>
          </w:tcPr>
          <w:p w14:paraId="7763CFEA" w14:textId="357FB1B5" w:rsidR="00E974DB" w:rsidRPr="005B78A7" w:rsidRDefault="00FD7893" w:rsidP="00BF28B8">
            <w:pPr>
              <w:rPr>
                <w:rFonts w:ascii="Arial" w:hAnsi="Arial" w:cs="Arial"/>
              </w:rPr>
            </w:pPr>
            <w:r w:rsidRPr="005B78A7">
              <w:rPr>
                <w:rFonts w:ascii="Arial" w:hAnsi="Arial" w:cs="Arial"/>
              </w:rPr>
              <w:t xml:space="preserve">When to report using the </w:t>
            </w:r>
            <w:r w:rsidR="00CF0108" w:rsidRPr="005B78A7">
              <w:rPr>
                <w:rFonts w:ascii="Arial" w:hAnsi="Arial" w:cs="Arial"/>
              </w:rPr>
              <w:t xml:space="preserve">Non-Safeguarding Notification </w:t>
            </w:r>
            <w:r w:rsidRPr="005B78A7">
              <w:rPr>
                <w:rFonts w:ascii="Arial" w:hAnsi="Arial" w:cs="Arial"/>
              </w:rPr>
              <w:t>Form</w:t>
            </w:r>
          </w:p>
        </w:tc>
        <w:tc>
          <w:tcPr>
            <w:tcW w:w="7088" w:type="dxa"/>
            <w:shd w:val="clear" w:color="auto" w:fill="002060"/>
          </w:tcPr>
          <w:p w14:paraId="4B2C43E9" w14:textId="4E88129A" w:rsidR="00E974DB" w:rsidRPr="005B78A7" w:rsidRDefault="002102F5" w:rsidP="00BF28B8">
            <w:pPr>
              <w:rPr>
                <w:rFonts w:ascii="Arial" w:hAnsi="Arial" w:cs="Arial"/>
              </w:rPr>
            </w:pPr>
            <w:r w:rsidRPr="005B78A7">
              <w:rPr>
                <w:rFonts w:ascii="Arial" w:hAnsi="Arial" w:cs="Arial"/>
              </w:rPr>
              <w:t>Examples of when a safeguarding concern should be raised. If you are unsure, consult with your Safeguarding Lead</w:t>
            </w:r>
          </w:p>
        </w:tc>
      </w:tr>
      <w:tr w:rsidR="00E974DB" w:rsidRPr="005B78A7" w14:paraId="499DD5EE"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43253195" w14:textId="2EC2C203" w:rsidR="00E974DB" w:rsidRPr="005B78A7" w:rsidRDefault="00E974DB" w:rsidP="00BF28B8">
            <w:pPr>
              <w:rPr>
                <w:rFonts w:ascii="Arial" w:hAnsi="Arial" w:cs="Arial"/>
              </w:rPr>
            </w:pPr>
            <w:r w:rsidRPr="005B78A7">
              <w:rPr>
                <w:rFonts w:ascii="Arial" w:hAnsi="Arial" w:cs="Arial"/>
              </w:rPr>
              <w:t>No requirement to complete a</w:t>
            </w:r>
            <w:r w:rsidR="00CF0108" w:rsidRPr="005B78A7">
              <w:rPr>
                <w:rFonts w:ascii="Arial" w:hAnsi="Arial" w:cs="Arial"/>
              </w:rPr>
              <w:t xml:space="preserve"> Non-Safeguarding Notification</w:t>
            </w:r>
            <w:r w:rsidRPr="005B78A7">
              <w:rPr>
                <w:rFonts w:ascii="Arial" w:hAnsi="Arial" w:cs="Arial"/>
              </w:rPr>
              <w:t xml:space="preserve"> Return.</w:t>
            </w:r>
          </w:p>
        </w:tc>
        <w:tc>
          <w:tcPr>
            <w:tcW w:w="7088" w:type="dxa"/>
            <w:shd w:val="clear" w:color="auto" w:fill="C5E0B3" w:themeFill="accent6" w:themeFillTint="66"/>
          </w:tcPr>
          <w:p w14:paraId="4AB62B09" w14:textId="72C1B397" w:rsidR="00E974DB" w:rsidRPr="005B78A7" w:rsidRDefault="00213353" w:rsidP="00DE7379">
            <w:pPr>
              <w:pStyle w:val="ListParagraph"/>
              <w:numPr>
                <w:ilvl w:val="0"/>
                <w:numId w:val="24"/>
              </w:numPr>
              <w:rPr>
                <w:rFonts w:ascii="Arial" w:hAnsi="Arial" w:cs="Arial"/>
              </w:rPr>
            </w:pPr>
            <w:r>
              <w:rPr>
                <w:rFonts w:ascii="Arial" w:hAnsi="Arial" w:cs="Arial"/>
              </w:rPr>
              <w:t>Where the person has an alternative diet which has been asse</w:t>
            </w:r>
            <w:r w:rsidR="004249D7">
              <w:rPr>
                <w:rFonts w:ascii="Arial" w:hAnsi="Arial" w:cs="Arial"/>
              </w:rPr>
              <w:t>ssed</w:t>
            </w:r>
            <w:r>
              <w:rPr>
                <w:rFonts w:ascii="Arial" w:hAnsi="Arial" w:cs="Arial"/>
              </w:rPr>
              <w:t xml:space="preserve"> by the Spe</w:t>
            </w:r>
            <w:r w:rsidR="004249D7">
              <w:rPr>
                <w:rFonts w:ascii="Arial" w:hAnsi="Arial" w:cs="Arial"/>
              </w:rPr>
              <w:t>e</w:t>
            </w:r>
            <w:r>
              <w:rPr>
                <w:rFonts w:ascii="Arial" w:hAnsi="Arial" w:cs="Arial"/>
              </w:rPr>
              <w:t>ch and Langua</w:t>
            </w:r>
            <w:r w:rsidR="004249D7">
              <w:rPr>
                <w:rFonts w:ascii="Arial" w:hAnsi="Arial" w:cs="Arial"/>
              </w:rPr>
              <w:t xml:space="preserve">ge team (SALT) and has been given food or drink </w:t>
            </w:r>
            <w:r w:rsidR="00D34A4B">
              <w:rPr>
                <w:rFonts w:ascii="Arial" w:hAnsi="Arial" w:cs="Arial"/>
              </w:rPr>
              <w:t>which is not part of their recommended diet.</w:t>
            </w:r>
          </w:p>
        </w:tc>
      </w:tr>
      <w:tr w:rsidR="0087626E" w:rsidRPr="005B78A7" w14:paraId="56883F02" w14:textId="77777777" w:rsidTr="005B7CF2">
        <w:trPr>
          <w:gridAfter w:val="1"/>
          <w:wAfter w:w="14" w:type="dxa"/>
          <w:trHeight w:val="405"/>
        </w:trPr>
        <w:tc>
          <w:tcPr>
            <w:tcW w:w="14029" w:type="dxa"/>
            <w:gridSpan w:val="3"/>
            <w:shd w:val="clear" w:color="auto" w:fill="002060"/>
          </w:tcPr>
          <w:p w14:paraId="5A10EE06" w14:textId="3ED1CF3F" w:rsidR="0087626E" w:rsidRPr="005B78A7" w:rsidRDefault="005D0D5C" w:rsidP="002E0721">
            <w:pPr>
              <w:pStyle w:val="Heading1"/>
              <w:rPr>
                <w:rFonts w:ascii="Arial" w:hAnsi="Arial" w:cs="Arial"/>
                <w:b/>
              </w:rPr>
            </w:pPr>
            <w:bookmarkStart w:id="9" w:name="_Toc183025731"/>
            <w:r w:rsidRPr="005D0D5C">
              <w:t>POOR DISCHARGE/TRANSFER OF CARE</w:t>
            </w:r>
            <w:r>
              <w:rPr>
                <w:rFonts w:ascii="Arial" w:hAnsi="Arial" w:cs="Arial"/>
                <w:b/>
              </w:rPr>
              <w:t xml:space="preserve"> </w:t>
            </w:r>
            <w:r w:rsidRPr="005D0D5C">
              <w:rPr>
                <w:rFonts w:ascii="Arial" w:hAnsi="Arial" w:cs="Arial"/>
                <w:bCs/>
              </w:rPr>
              <w:t>from setting to setting i.e. Hospital to care home, care home to care home)</w:t>
            </w:r>
            <w:bookmarkEnd w:id="9"/>
          </w:p>
        </w:tc>
      </w:tr>
      <w:tr w:rsidR="0087626E" w:rsidRPr="005B78A7" w14:paraId="3EEECA08" w14:textId="77777777" w:rsidTr="005B7CF2">
        <w:tblPrEx>
          <w:tblLook w:val="04A0" w:firstRow="1" w:lastRow="0" w:firstColumn="1" w:lastColumn="0" w:noHBand="0" w:noVBand="1"/>
        </w:tblPrEx>
        <w:trPr>
          <w:gridAfter w:val="1"/>
          <w:wAfter w:w="14" w:type="dxa"/>
        </w:trPr>
        <w:tc>
          <w:tcPr>
            <w:tcW w:w="6941" w:type="dxa"/>
            <w:gridSpan w:val="2"/>
            <w:shd w:val="clear" w:color="auto" w:fill="002060"/>
          </w:tcPr>
          <w:p w14:paraId="43E61FF8" w14:textId="2260EB84" w:rsidR="0087626E" w:rsidRPr="005B78A7" w:rsidRDefault="00986A1E" w:rsidP="00BF28B8">
            <w:pPr>
              <w:rPr>
                <w:rFonts w:ascii="Arial" w:hAnsi="Arial" w:cs="Arial"/>
              </w:rPr>
            </w:pPr>
            <w:r w:rsidRPr="005B78A7">
              <w:rPr>
                <w:rFonts w:ascii="Arial" w:hAnsi="Arial" w:cs="Arial"/>
              </w:rPr>
              <w:t xml:space="preserve">When to report using the </w:t>
            </w:r>
            <w:r w:rsidR="00CF0108" w:rsidRPr="005B78A7">
              <w:rPr>
                <w:rFonts w:ascii="Arial" w:hAnsi="Arial" w:cs="Arial"/>
              </w:rPr>
              <w:t xml:space="preserve">Non-Safeguarding Notification </w:t>
            </w:r>
            <w:r w:rsidRPr="005B78A7">
              <w:rPr>
                <w:rFonts w:ascii="Arial" w:hAnsi="Arial" w:cs="Arial"/>
              </w:rPr>
              <w:t>Form</w:t>
            </w:r>
          </w:p>
        </w:tc>
        <w:tc>
          <w:tcPr>
            <w:tcW w:w="7088" w:type="dxa"/>
            <w:shd w:val="clear" w:color="auto" w:fill="002060"/>
          </w:tcPr>
          <w:p w14:paraId="6E654AAD" w14:textId="544AB068" w:rsidR="0087626E" w:rsidRPr="005B78A7" w:rsidRDefault="002102F5" w:rsidP="00BF28B8">
            <w:pPr>
              <w:rPr>
                <w:rFonts w:ascii="Arial" w:hAnsi="Arial" w:cs="Arial"/>
              </w:rPr>
            </w:pPr>
            <w:r w:rsidRPr="005B78A7">
              <w:rPr>
                <w:rFonts w:ascii="Arial" w:hAnsi="Arial" w:cs="Arial"/>
              </w:rPr>
              <w:t>Examples of when a safeguarding concern should be raised. If you are unsure, consult with your Safeguarding Lead</w:t>
            </w:r>
          </w:p>
        </w:tc>
      </w:tr>
      <w:tr w:rsidR="0087626E" w:rsidRPr="005B78A7" w14:paraId="2F1E3AD4"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69C9600F" w14:textId="392B8BF4" w:rsidR="0087626E" w:rsidRPr="005B78A7" w:rsidRDefault="0087626E" w:rsidP="00BF28B8">
            <w:pPr>
              <w:rPr>
                <w:rFonts w:ascii="Arial" w:hAnsi="Arial" w:cs="Arial"/>
              </w:rPr>
            </w:pPr>
            <w:r w:rsidRPr="005B78A7">
              <w:rPr>
                <w:rFonts w:ascii="Arial" w:hAnsi="Arial" w:cs="Arial"/>
              </w:rPr>
              <w:t xml:space="preserve">No requirement to complete a </w:t>
            </w:r>
            <w:r w:rsidR="00CF0108" w:rsidRPr="005B78A7">
              <w:rPr>
                <w:rFonts w:ascii="Arial" w:hAnsi="Arial" w:cs="Arial"/>
              </w:rPr>
              <w:t xml:space="preserve">Non-Safeguarding Notification </w:t>
            </w:r>
            <w:r w:rsidRPr="005B78A7">
              <w:rPr>
                <w:rFonts w:ascii="Arial" w:hAnsi="Arial" w:cs="Arial"/>
              </w:rPr>
              <w:t>Return.</w:t>
            </w:r>
          </w:p>
        </w:tc>
        <w:tc>
          <w:tcPr>
            <w:tcW w:w="7088" w:type="dxa"/>
            <w:shd w:val="clear" w:color="auto" w:fill="C5E0B3" w:themeFill="accent6" w:themeFillTint="66"/>
          </w:tcPr>
          <w:p w14:paraId="6D770067" w14:textId="77777777" w:rsidR="0087626E" w:rsidRPr="005B78A7" w:rsidRDefault="0087626E" w:rsidP="00BF28B8">
            <w:pPr>
              <w:pStyle w:val="ListParagraph"/>
              <w:numPr>
                <w:ilvl w:val="0"/>
                <w:numId w:val="24"/>
              </w:numPr>
              <w:rPr>
                <w:rFonts w:ascii="Arial" w:hAnsi="Arial" w:cs="Arial"/>
              </w:rPr>
            </w:pPr>
            <w:r w:rsidRPr="005B78A7">
              <w:rPr>
                <w:rFonts w:ascii="Arial" w:hAnsi="Arial" w:cs="Arial"/>
              </w:rPr>
              <w:t xml:space="preserve">There is insufficient discharge/transfer of care planning from any area resulting in a risk of abuse or neglect. </w:t>
            </w:r>
          </w:p>
          <w:p w14:paraId="09577146" w14:textId="0C99DED3" w:rsidR="0087626E" w:rsidRPr="005B78A7" w:rsidRDefault="0087626E" w:rsidP="00BF28B8">
            <w:pPr>
              <w:pStyle w:val="ListParagraph"/>
              <w:numPr>
                <w:ilvl w:val="0"/>
                <w:numId w:val="24"/>
              </w:numPr>
              <w:rPr>
                <w:rFonts w:ascii="Arial" w:hAnsi="Arial" w:cs="Arial"/>
              </w:rPr>
            </w:pPr>
            <w:r w:rsidRPr="005B78A7">
              <w:rPr>
                <w:rFonts w:ascii="Arial" w:hAnsi="Arial" w:cs="Arial"/>
              </w:rPr>
              <w:t xml:space="preserve">Where the adult at risk is discharged without necessary equipment, </w:t>
            </w:r>
            <w:r w:rsidR="000F596D" w:rsidRPr="005B78A7">
              <w:rPr>
                <w:rFonts w:ascii="Arial" w:hAnsi="Arial" w:cs="Arial"/>
              </w:rPr>
              <w:t>medication,</w:t>
            </w:r>
            <w:r w:rsidRPr="005B78A7">
              <w:rPr>
                <w:rFonts w:ascii="Arial" w:hAnsi="Arial" w:cs="Arial"/>
              </w:rPr>
              <w:t xml:space="preserve"> or personal items and this results in a risk of abuse or neglect. </w:t>
            </w:r>
          </w:p>
          <w:p w14:paraId="7AA135A9" w14:textId="22762A26" w:rsidR="0087626E" w:rsidRPr="005B78A7" w:rsidRDefault="0087626E" w:rsidP="00BF28B8">
            <w:pPr>
              <w:pStyle w:val="ListParagraph"/>
              <w:numPr>
                <w:ilvl w:val="0"/>
                <w:numId w:val="24"/>
              </w:numPr>
              <w:rPr>
                <w:rFonts w:ascii="Arial" w:hAnsi="Arial" w:cs="Arial"/>
              </w:rPr>
            </w:pPr>
            <w:r w:rsidRPr="005B78A7">
              <w:rPr>
                <w:rFonts w:ascii="Arial" w:hAnsi="Arial" w:cs="Arial"/>
              </w:rPr>
              <w:t xml:space="preserve">Where the adult at risk is discharged with a cannula in situ but there is no record on the discharge </w:t>
            </w:r>
            <w:r w:rsidR="00DA53DB" w:rsidRPr="005B78A7">
              <w:rPr>
                <w:rFonts w:ascii="Arial" w:hAnsi="Arial" w:cs="Arial"/>
              </w:rPr>
              <w:t>plan,</w:t>
            </w:r>
            <w:r w:rsidRPr="005B78A7">
              <w:rPr>
                <w:rFonts w:ascii="Arial" w:hAnsi="Arial" w:cs="Arial"/>
              </w:rPr>
              <w:t xml:space="preserve"> and this results in a risk of abuse or neglect. </w:t>
            </w:r>
          </w:p>
          <w:p w14:paraId="15948D2F" w14:textId="77777777" w:rsidR="0087626E" w:rsidRPr="005B78A7" w:rsidRDefault="0087626E" w:rsidP="00BF28B8">
            <w:pPr>
              <w:pStyle w:val="ListParagraph"/>
              <w:numPr>
                <w:ilvl w:val="0"/>
                <w:numId w:val="24"/>
              </w:numPr>
              <w:rPr>
                <w:rFonts w:ascii="Arial" w:hAnsi="Arial" w:cs="Arial"/>
              </w:rPr>
            </w:pPr>
            <w:r w:rsidRPr="005B78A7">
              <w:rPr>
                <w:rFonts w:ascii="Arial" w:hAnsi="Arial" w:cs="Arial"/>
              </w:rPr>
              <w:t xml:space="preserve">Where the adult at risk is discharged with no/or incomplete discharge documentation and this results in a risk of abuse or neglect. </w:t>
            </w:r>
          </w:p>
          <w:p w14:paraId="7EF8F00E" w14:textId="77777777" w:rsidR="0087626E" w:rsidRPr="005B78A7" w:rsidRDefault="0087626E" w:rsidP="00BF28B8">
            <w:pPr>
              <w:rPr>
                <w:rFonts w:ascii="Arial" w:hAnsi="Arial" w:cs="Arial"/>
              </w:rPr>
            </w:pPr>
          </w:p>
        </w:tc>
      </w:tr>
      <w:tr w:rsidR="00AE5D0B" w:rsidRPr="005B78A7" w14:paraId="11626F0D" w14:textId="77777777" w:rsidTr="005B7CF2">
        <w:trPr>
          <w:gridAfter w:val="1"/>
          <w:wAfter w:w="14" w:type="dxa"/>
          <w:trHeight w:val="270"/>
        </w:trPr>
        <w:tc>
          <w:tcPr>
            <w:tcW w:w="14029" w:type="dxa"/>
            <w:gridSpan w:val="3"/>
            <w:shd w:val="clear" w:color="auto" w:fill="002060"/>
          </w:tcPr>
          <w:p w14:paraId="675DB7D6" w14:textId="77777777" w:rsidR="00AE5D0B" w:rsidRPr="005B78A7" w:rsidRDefault="00AE5D0B" w:rsidP="002E0721">
            <w:pPr>
              <w:pStyle w:val="Heading1"/>
              <w:rPr>
                <w:rFonts w:ascii="Arial" w:hAnsi="Arial" w:cs="Arial"/>
              </w:rPr>
            </w:pPr>
            <w:bookmarkStart w:id="10" w:name="_Toc183025732"/>
            <w:r w:rsidRPr="005B78A7">
              <w:rPr>
                <w:rFonts w:ascii="Arial" w:hAnsi="Arial" w:cs="Arial"/>
              </w:rPr>
              <w:t>FINANCIAL AND MATERIAL</w:t>
            </w:r>
            <w:bookmarkEnd w:id="10"/>
          </w:p>
        </w:tc>
      </w:tr>
      <w:tr w:rsidR="00AE5D0B" w:rsidRPr="005B78A7" w14:paraId="0ABC0B6D" w14:textId="77777777" w:rsidTr="005B7CF2">
        <w:tblPrEx>
          <w:tblLook w:val="04A0" w:firstRow="1" w:lastRow="0" w:firstColumn="1" w:lastColumn="0" w:noHBand="0" w:noVBand="1"/>
        </w:tblPrEx>
        <w:trPr>
          <w:gridAfter w:val="1"/>
          <w:wAfter w:w="14" w:type="dxa"/>
        </w:trPr>
        <w:tc>
          <w:tcPr>
            <w:tcW w:w="6941" w:type="dxa"/>
            <w:gridSpan w:val="2"/>
            <w:shd w:val="clear" w:color="auto" w:fill="002060"/>
          </w:tcPr>
          <w:p w14:paraId="084B0531" w14:textId="66B276A2" w:rsidR="00AE5D0B" w:rsidRPr="005B78A7" w:rsidRDefault="00986A1E" w:rsidP="00BF28B8">
            <w:pPr>
              <w:rPr>
                <w:rFonts w:ascii="Arial" w:hAnsi="Arial" w:cs="Arial"/>
              </w:rPr>
            </w:pPr>
            <w:r w:rsidRPr="005B78A7">
              <w:rPr>
                <w:rFonts w:ascii="Arial" w:hAnsi="Arial" w:cs="Arial"/>
              </w:rPr>
              <w:t xml:space="preserve">When to report using the </w:t>
            </w:r>
            <w:r w:rsidR="00CF0108" w:rsidRPr="005B78A7">
              <w:rPr>
                <w:rFonts w:ascii="Arial" w:hAnsi="Arial" w:cs="Arial"/>
              </w:rPr>
              <w:t xml:space="preserve">Non-Safeguarding Notification </w:t>
            </w:r>
            <w:r w:rsidRPr="005B78A7">
              <w:rPr>
                <w:rFonts w:ascii="Arial" w:hAnsi="Arial" w:cs="Arial"/>
              </w:rPr>
              <w:t>Form</w:t>
            </w:r>
          </w:p>
        </w:tc>
        <w:tc>
          <w:tcPr>
            <w:tcW w:w="7088" w:type="dxa"/>
            <w:shd w:val="clear" w:color="auto" w:fill="002060"/>
          </w:tcPr>
          <w:p w14:paraId="4112D682" w14:textId="4F5C0A5F" w:rsidR="00AE5D0B" w:rsidRPr="005B78A7" w:rsidRDefault="002102F5" w:rsidP="00BF28B8">
            <w:pPr>
              <w:rPr>
                <w:rFonts w:ascii="Arial" w:hAnsi="Arial" w:cs="Arial"/>
              </w:rPr>
            </w:pPr>
            <w:r w:rsidRPr="005B78A7">
              <w:rPr>
                <w:rFonts w:ascii="Arial" w:hAnsi="Arial" w:cs="Arial"/>
              </w:rPr>
              <w:t>Examples of when a safeguarding concern should be raised. If you are unsure, consult with your Safeguarding Lead</w:t>
            </w:r>
          </w:p>
        </w:tc>
      </w:tr>
      <w:tr w:rsidR="00AE5D0B" w:rsidRPr="005B78A7" w14:paraId="29300A27"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6B0F1209" w14:textId="5F1D9350" w:rsidR="00AE5D0B" w:rsidRPr="005B78A7" w:rsidRDefault="00AE5D0B" w:rsidP="00BF28B8">
            <w:pPr>
              <w:rPr>
                <w:rFonts w:ascii="Arial" w:hAnsi="Arial" w:cs="Arial"/>
              </w:rPr>
            </w:pPr>
            <w:r w:rsidRPr="005B78A7">
              <w:rPr>
                <w:rFonts w:ascii="Arial" w:hAnsi="Arial" w:cs="Arial"/>
              </w:rPr>
              <w:t>No requirement to complete a</w:t>
            </w:r>
            <w:r w:rsidR="00371652" w:rsidRPr="005B78A7">
              <w:rPr>
                <w:rFonts w:ascii="Arial" w:hAnsi="Arial" w:cs="Arial"/>
              </w:rPr>
              <w:t xml:space="preserve"> Non-Safeguarding Notification</w:t>
            </w:r>
            <w:r w:rsidRPr="005B78A7">
              <w:rPr>
                <w:rFonts w:ascii="Arial" w:hAnsi="Arial" w:cs="Arial"/>
              </w:rPr>
              <w:t xml:space="preserve"> Return.</w:t>
            </w:r>
          </w:p>
        </w:tc>
        <w:tc>
          <w:tcPr>
            <w:tcW w:w="7088" w:type="dxa"/>
            <w:shd w:val="clear" w:color="auto" w:fill="C5E0B3" w:themeFill="accent6" w:themeFillTint="66"/>
          </w:tcPr>
          <w:p w14:paraId="3C33E160" w14:textId="77777777" w:rsidR="00AE5D0B" w:rsidRPr="005B78A7" w:rsidRDefault="00AE5D0B" w:rsidP="00BF28B8">
            <w:pPr>
              <w:pStyle w:val="ListParagraph"/>
              <w:numPr>
                <w:ilvl w:val="0"/>
                <w:numId w:val="24"/>
              </w:numPr>
              <w:rPr>
                <w:rFonts w:ascii="Arial" w:hAnsi="Arial" w:cs="Arial"/>
              </w:rPr>
            </w:pPr>
            <w:r w:rsidRPr="005B78A7">
              <w:rPr>
                <w:rFonts w:ascii="Arial" w:hAnsi="Arial" w:cs="Arial"/>
              </w:rPr>
              <w:t xml:space="preserve">An adult at risk is denied access to his/her funds or possessions, where this is not part of a support plan or best interest decision. </w:t>
            </w:r>
          </w:p>
          <w:p w14:paraId="2D59EE54" w14:textId="77777777" w:rsidR="00AE5D0B" w:rsidRPr="005B78A7" w:rsidRDefault="00AE5D0B" w:rsidP="00BF28B8">
            <w:pPr>
              <w:pStyle w:val="ListParagraph"/>
              <w:numPr>
                <w:ilvl w:val="0"/>
                <w:numId w:val="24"/>
              </w:numPr>
              <w:rPr>
                <w:rFonts w:ascii="Arial" w:hAnsi="Arial" w:cs="Arial"/>
              </w:rPr>
            </w:pPr>
            <w:r w:rsidRPr="005B78A7">
              <w:rPr>
                <w:rFonts w:ascii="Arial" w:hAnsi="Arial" w:cs="Arial"/>
              </w:rPr>
              <w:t xml:space="preserve">There is a failure by a responsible person to pay care fees/charges and the adult at risk experiences distress or an adverse effect through having no or restricted allowance to personal allowances, risk of eviction or termination of service.  </w:t>
            </w:r>
          </w:p>
          <w:p w14:paraId="6E18C6CF" w14:textId="77777777" w:rsidR="00AE5D0B" w:rsidRPr="005B78A7" w:rsidRDefault="00AE5D0B" w:rsidP="00BF28B8">
            <w:pPr>
              <w:pStyle w:val="ListParagraph"/>
              <w:numPr>
                <w:ilvl w:val="0"/>
                <w:numId w:val="24"/>
              </w:numPr>
              <w:rPr>
                <w:rFonts w:ascii="Arial" w:hAnsi="Arial" w:cs="Arial"/>
              </w:rPr>
            </w:pPr>
            <w:r w:rsidRPr="005B78A7">
              <w:rPr>
                <w:rFonts w:ascii="Arial" w:hAnsi="Arial" w:cs="Arial"/>
              </w:rPr>
              <w:t xml:space="preserve">Where there is a misuse or misappropriation of property, possessions or benefits or finances by a person in a Position of Trust or control. </w:t>
            </w:r>
          </w:p>
          <w:p w14:paraId="478FD92D" w14:textId="77777777" w:rsidR="00AE5D0B" w:rsidRPr="005B78A7" w:rsidRDefault="00AE5D0B" w:rsidP="00BF28B8">
            <w:pPr>
              <w:pStyle w:val="ListParagraph"/>
              <w:numPr>
                <w:ilvl w:val="0"/>
                <w:numId w:val="23"/>
              </w:numPr>
              <w:ind w:left="760" w:hanging="357"/>
              <w:rPr>
                <w:rFonts w:ascii="Arial" w:hAnsi="Arial" w:cs="Arial"/>
              </w:rPr>
            </w:pPr>
            <w:r w:rsidRPr="005B78A7">
              <w:rPr>
                <w:rFonts w:ascii="Arial" w:hAnsi="Arial" w:cs="Arial"/>
              </w:rPr>
              <w:t xml:space="preserve">Where the adult at risk is subject to theft. </w:t>
            </w:r>
          </w:p>
          <w:p w14:paraId="748B756D" w14:textId="77777777" w:rsidR="00AE5D0B" w:rsidRPr="005B78A7" w:rsidRDefault="00AE5D0B" w:rsidP="00BF28B8">
            <w:pPr>
              <w:pStyle w:val="ListParagraph"/>
              <w:numPr>
                <w:ilvl w:val="0"/>
                <w:numId w:val="23"/>
              </w:numPr>
              <w:ind w:left="760" w:hanging="357"/>
              <w:rPr>
                <w:rFonts w:ascii="Arial" w:hAnsi="Arial" w:cs="Arial"/>
              </w:rPr>
            </w:pPr>
            <w:r w:rsidRPr="005B78A7">
              <w:rPr>
                <w:rFonts w:ascii="Arial" w:hAnsi="Arial" w:cs="Arial"/>
              </w:rPr>
              <w:t xml:space="preserve">Where the adult at risk is subject to doorstep crime. </w:t>
            </w:r>
          </w:p>
          <w:p w14:paraId="2524CDE3" w14:textId="77777777" w:rsidR="00AE5D0B" w:rsidRPr="005B78A7" w:rsidRDefault="00AE5D0B" w:rsidP="00BF28B8">
            <w:pPr>
              <w:pStyle w:val="ListParagraph"/>
              <w:numPr>
                <w:ilvl w:val="0"/>
                <w:numId w:val="23"/>
              </w:numPr>
              <w:ind w:left="760" w:hanging="357"/>
              <w:rPr>
                <w:rFonts w:ascii="Arial" w:hAnsi="Arial" w:cs="Arial"/>
              </w:rPr>
            </w:pPr>
            <w:r w:rsidRPr="005B78A7">
              <w:rPr>
                <w:rFonts w:ascii="Arial" w:hAnsi="Arial" w:cs="Arial"/>
              </w:rPr>
              <w:t xml:space="preserve">Where the adult at risk is subject to being put under pressure in relation to money or other property (for example scamming, either via mail, telephone or online. </w:t>
            </w:r>
          </w:p>
          <w:p w14:paraId="0FFB378A" w14:textId="77777777" w:rsidR="00AE5D0B" w:rsidRPr="005B78A7" w:rsidRDefault="00AE5D0B" w:rsidP="00BF28B8">
            <w:pPr>
              <w:pStyle w:val="ListParagraph"/>
              <w:numPr>
                <w:ilvl w:val="0"/>
                <w:numId w:val="23"/>
              </w:numPr>
              <w:ind w:left="760" w:hanging="357"/>
              <w:rPr>
                <w:rFonts w:ascii="Arial" w:hAnsi="Arial" w:cs="Arial"/>
              </w:rPr>
            </w:pPr>
            <w:r w:rsidRPr="005B78A7">
              <w:rPr>
                <w:rFonts w:ascii="Arial" w:hAnsi="Arial" w:cs="Arial"/>
              </w:rPr>
              <w:t>Where someone persuades/befriends the person to gift or loan money by any means.</w:t>
            </w:r>
          </w:p>
          <w:p w14:paraId="338E53D8" w14:textId="77777777" w:rsidR="00AE5D0B" w:rsidRPr="005B78A7" w:rsidRDefault="00AE5D0B" w:rsidP="00BF28B8">
            <w:pPr>
              <w:pStyle w:val="ListParagraph"/>
              <w:numPr>
                <w:ilvl w:val="0"/>
                <w:numId w:val="23"/>
              </w:numPr>
              <w:ind w:left="760" w:hanging="357"/>
              <w:rPr>
                <w:rFonts w:ascii="Arial" w:hAnsi="Arial" w:cs="Arial"/>
              </w:rPr>
            </w:pPr>
            <w:r w:rsidRPr="005B78A7">
              <w:rPr>
                <w:rFonts w:ascii="Arial" w:hAnsi="Arial" w:cs="Arial"/>
              </w:rPr>
              <w:t xml:space="preserve">Where the adult at risk is subject to having money or property misused. </w:t>
            </w:r>
          </w:p>
          <w:p w14:paraId="76334D79" w14:textId="77777777" w:rsidR="00AE5D0B" w:rsidRPr="005B78A7" w:rsidRDefault="00AE5D0B" w:rsidP="00BF28B8">
            <w:pPr>
              <w:rPr>
                <w:rFonts w:ascii="Arial" w:hAnsi="Arial" w:cs="Arial"/>
              </w:rPr>
            </w:pPr>
          </w:p>
        </w:tc>
      </w:tr>
      <w:tr w:rsidR="0088384E" w:rsidRPr="005B78A7" w14:paraId="1436C1A3" w14:textId="77777777" w:rsidTr="005B7CF2">
        <w:trPr>
          <w:trHeight w:val="165"/>
        </w:trPr>
        <w:tc>
          <w:tcPr>
            <w:tcW w:w="14043" w:type="dxa"/>
            <w:gridSpan w:val="4"/>
            <w:shd w:val="clear" w:color="auto" w:fill="002060"/>
          </w:tcPr>
          <w:p w14:paraId="3E852059" w14:textId="77777777" w:rsidR="0088384E" w:rsidRPr="005B78A7" w:rsidRDefault="0088384E" w:rsidP="002E0721">
            <w:pPr>
              <w:pStyle w:val="Heading1"/>
              <w:rPr>
                <w:rFonts w:ascii="Arial" w:hAnsi="Arial" w:cs="Arial"/>
              </w:rPr>
            </w:pPr>
            <w:bookmarkStart w:id="11" w:name="_Toc183025733"/>
            <w:r w:rsidRPr="005B78A7">
              <w:rPr>
                <w:rFonts w:ascii="Arial" w:hAnsi="Arial" w:cs="Arial"/>
              </w:rPr>
              <w:t>ENVIRONMENTAL (within a care home or non-regulated activity such as, day support service)</w:t>
            </w:r>
            <w:bookmarkEnd w:id="11"/>
          </w:p>
        </w:tc>
      </w:tr>
      <w:tr w:rsidR="0088384E" w:rsidRPr="005B78A7" w14:paraId="3250E520" w14:textId="77777777" w:rsidTr="005B7CF2">
        <w:tblPrEx>
          <w:tblLook w:val="04A0" w:firstRow="1" w:lastRow="0" w:firstColumn="1" w:lastColumn="0" w:noHBand="0" w:noVBand="1"/>
        </w:tblPrEx>
        <w:tc>
          <w:tcPr>
            <w:tcW w:w="6833" w:type="dxa"/>
            <w:shd w:val="clear" w:color="auto" w:fill="002060"/>
          </w:tcPr>
          <w:p w14:paraId="13AF52C0" w14:textId="785DB80A" w:rsidR="0088384E" w:rsidRPr="005B78A7" w:rsidRDefault="00986A1E" w:rsidP="00BF28B8">
            <w:pPr>
              <w:rPr>
                <w:rFonts w:ascii="Arial" w:hAnsi="Arial" w:cs="Arial"/>
              </w:rPr>
            </w:pPr>
            <w:r w:rsidRPr="005B78A7">
              <w:rPr>
                <w:rFonts w:ascii="Arial" w:hAnsi="Arial" w:cs="Arial"/>
              </w:rPr>
              <w:t xml:space="preserve">When to report using the </w:t>
            </w:r>
            <w:r w:rsidR="00371652" w:rsidRPr="005B78A7">
              <w:rPr>
                <w:rFonts w:ascii="Arial" w:hAnsi="Arial" w:cs="Arial"/>
              </w:rPr>
              <w:t xml:space="preserve">Non-Safeguarding Notification </w:t>
            </w:r>
            <w:r w:rsidRPr="005B78A7">
              <w:rPr>
                <w:rFonts w:ascii="Arial" w:hAnsi="Arial" w:cs="Arial"/>
              </w:rPr>
              <w:t>Form</w:t>
            </w:r>
          </w:p>
        </w:tc>
        <w:tc>
          <w:tcPr>
            <w:tcW w:w="7210" w:type="dxa"/>
            <w:gridSpan w:val="3"/>
            <w:shd w:val="clear" w:color="auto" w:fill="002060"/>
          </w:tcPr>
          <w:p w14:paraId="48063CA2" w14:textId="354D9EAA" w:rsidR="0088384E" w:rsidRPr="005B78A7" w:rsidRDefault="002102F5" w:rsidP="00BF28B8">
            <w:pPr>
              <w:rPr>
                <w:rFonts w:ascii="Arial" w:hAnsi="Arial" w:cs="Arial"/>
              </w:rPr>
            </w:pPr>
            <w:r w:rsidRPr="005B78A7">
              <w:rPr>
                <w:rFonts w:ascii="Arial" w:hAnsi="Arial" w:cs="Arial"/>
              </w:rPr>
              <w:t>Examples of when a safeguarding concern should be raised. If you are unsure, consult with your Safeguarding Lead</w:t>
            </w:r>
          </w:p>
        </w:tc>
      </w:tr>
      <w:tr w:rsidR="0088384E" w:rsidRPr="005B78A7" w14:paraId="30BE3E3D" w14:textId="77777777" w:rsidTr="005B7CF2">
        <w:tblPrEx>
          <w:tblLook w:val="04A0" w:firstRow="1" w:lastRow="0" w:firstColumn="1" w:lastColumn="0" w:noHBand="0" w:noVBand="1"/>
        </w:tblPrEx>
        <w:tc>
          <w:tcPr>
            <w:tcW w:w="6833" w:type="dxa"/>
            <w:shd w:val="clear" w:color="auto" w:fill="FFE599" w:themeFill="accent4" w:themeFillTint="66"/>
          </w:tcPr>
          <w:p w14:paraId="6472C108" w14:textId="59EF0DB4" w:rsidR="0088384E" w:rsidRPr="005B78A7" w:rsidRDefault="0088384E" w:rsidP="00BF28B8">
            <w:pPr>
              <w:rPr>
                <w:rFonts w:ascii="Arial" w:hAnsi="Arial" w:cs="Arial"/>
              </w:rPr>
            </w:pPr>
            <w:r w:rsidRPr="005B78A7">
              <w:rPr>
                <w:rFonts w:ascii="Arial" w:hAnsi="Arial" w:cs="Arial"/>
              </w:rPr>
              <w:t xml:space="preserve">Extra Housing Care – No requirement to submit a Risk Notification </w:t>
            </w:r>
            <w:r w:rsidR="00272F23" w:rsidRPr="005B78A7">
              <w:rPr>
                <w:rFonts w:ascii="Arial" w:hAnsi="Arial" w:cs="Arial"/>
              </w:rPr>
              <w:t>Form</w:t>
            </w:r>
          </w:p>
          <w:p w14:paraId="216449E4" w14:textId="77777777" w:rsidR="0088384E" w:rsidRPr="005B78A7" w:rsidRDefault="0088384E" w:rsidP="00BF28B8">
            <w:pPr>
              <w:rPr>
                <w:rFonts w:ascii="Arial" w:hAnsi="Arial" w:cs="Arial"/>
              </w:rPr>
            </w:pPr>
          </w:p>
          <w:p w14:paraId="1F737E94" w14:textId="77777777" w:rsidR="0088384E" w:rsidRPr="005B78A7" w:rsidRDefault="0088384E" w:rsidP="00BF28B8">
            <w:pPr>
              <w:pStyle w:val="ListParagraph"/>
              <w:numPr>
                <w:ilvl w:val="0"/>
                <w:numId w:val="11"/>
              </w:numPr>
              <w:ind w:left="360"/>
              <w:rPr>
                <w:rFonts w:ascii="Arial" w:hAnsi="Arial" w:cs="Arial"/>
              </w:rPr>
            </w:pPr>
            <w:r w:rsidRPr="005B78A7">
              <w:rPr>
                <w:rFonts w:ascii="Arial" w:hAnsi="Arial" w:cs="Arial"/>
              </w:rPr>
              <w:t xml:space="preserve">Heating problems and supply of hot water </w:t>
            </w:r>
          </w:p>
          <w:p w14:paraId="2CCBC9EF"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Inadequate lighting </w:t>
            </w:r>
          </w:p>
          <w:p w14:paraId="210EAB52"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Power cut </w:t>
            </w:r>
          </w:p>
          <w:p w14:paraId="4ACF25EE" w14:textId="5B666C73"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Call bells not being heard/not </w:t>
            </w:r>
            <w:r w:rsidR="0097006E" w:rsidRPr="005B78A7">
              <w:rPr>
                <w:rFonts w:ascii="Arial" w:hAnsi="Arial" w:cs="Arial"/>
              </w:rPr>
              <w:t>working.</w:t>
            </w:r>
            <w:r w:rsidRPr="005B78A7">
              <w:rPr>
                <w:rFonts w:ascii="Arial" w:hAnsi="Arial" w:cs="Arial"/>
              </w:rPr>
              <w:t xml:space="preserve"> </w:t>
            </w:r>
          </w:p>
          <w:p w14:paraId="07EEFDB2"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Hazards in the home; boxes/wheelchairs </w:t>
            </w:r>
          </w:p>
          <w:p w14:paraId="76874E28"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Communal toilets/bathrooms out of use </w:t>
            </w:r>
          </w:p>
          <w:p w14:paraId="3FCE5316"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Lift out of use </w:t>
            </w:r>
          </w:p>
          <w:p w14:paraId="695644E3" w14:textId="69D66619"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Fire system not </w:t>
            </w:r>
            <w:r w:rsidR="0097006E" w:rsidRPr="005B78A7">
              <w:rPr>
                <w:rFonts w:ascii="Arial" w:hAnsi="Arial" w:cs="Arial"/>
              </w:rPr>
              <w:t>working.</w:t>
            </w:r>
            <w:r w:rsidRPr="005B78A7">
              <w:rPr>
                <w:rFonts w:ascii="Arial" w:hAnsi="Arial" w:cs="Arial"/>
              </w:rPr>
              <w:t xml:space="preserve"> </w:t>
            </w:r>
          </w:p>
          <w:p w14:paraId="2D9DA6C3"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Kitchen out of use </w:t>
            </w:r>
          </w:p>
          <w:p w14:paraId="141348B4"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Lack of security in the building </w:t>
            </w:r>
          </w:p>
          <w:p w14:paraId="42D8EE44" w14:textId="43454C7A"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Insufficient fire tests not being </w:t>
            </w:r>
            <w:r w:rsidR="0002029D" w:rsidRPr="005B78A7">
              <w:rPr>
                <w:rFonts w:ascii="Arial" w:hAnsi="Arial" w:cs="Arial"/>
              </w:rPr>
              <w:t>undertaken.</w:t>
            </w:r>
            <w:r w:rsidRPr="005B78A7">
              <w:rPr>
                <w:rFonts w:ascii="Arial" w:hAnsi="Arial" w:cs="Arial"/>
              </w:rPr>
              <w:t xml:space="preserve"> </w:t>
            </w:r>
          </w:p>
          <w:p w14:paraId="17398E7B"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Restriction to access areas of the home </w:t>
            </w:r>
          </w:p>
          <w:p w14:paraId="161BCE1E"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Floods </w:t>
            </w:r>
          </w:p>
          <w:p w14:paraId="43BF08AD" w14:textId="65B933EA"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 xml:space="preserve">Fire Regulations are not </w:t>
            </w:r>
            <w:r w:rsidR="0002029D" w:rsidRPr="005B78A7">
              <w:rPr>
                <w:rFonts w:ascii="Arial" w:hAnsi="Arial" w:cs="Arial"/>
              </w:rPr>
              <w:t>met.</w:t>
            </w:r>
            <w:r w:rsidRPr="005B78A7">
              <w:rPr>
                <w:rFonts w:ascii="Arial" w:hAnsi="Arial" w:cs="Arial"/>
              </w:rPr>
              <w:t xml:space="preserve"> </w:t>
            </w:r>
          </w:p>
          <w:p w14:paraId="12BC9C08" w14:textId="77777777" w:rsidR="0088384E" w:rsidRPr="005B78A7" w:rsidRDefault="0088384E" w:rsidP="00BF28B8">
            <w:pPr>
              <w:pStyle w:val="ListParagraph"/>
              <w:numPr>
                <w:ilvl w:val="0"/>
                <w:numId w:val="10"/>
              </w:numPr>
              <w:ind w:left="360"/>
              <w:jc w:val="both"/>
              <w:rPr>
                <w:rFonts w:ascii="Arial" w:hAnsi="Arial" w:cs="Arial"/>
              </w:rPr>
            </w:pPr>
            <w:r w:rsidRPr="005B78A7">
              <w:rPr>
                <w:rFonts w:ascii="Arial" w:hAnsi="Arial" w:cs="Arial"/>
              </w:rPr>
              <w:t>Lack of furniture and space in communal areas</w:t>
            </w:r>
          </w:p>
          <w:p w14:paraId="68BAA7CF" w14:textId="0A03DA08" w:rsidR="0088384E" w:rsidRPr="005B78A7" w:rsidRDefault="0088384E" w:rsidP="00BF28B8">
            <w:pPr>
              <w:jc w:val="both"/>
              <w:rPr>
                <w:rFonts w:ascii="Arial" w:hAnsi="Arial" w:cs="Arial"/>
                <w:b/>
              </w:rPr>
            </w:pPr>
            <w:r w:rsidRPr="005B78A7">
              <w:rPr>
                <w:rFonts w:ascii="Arial" w:hAnsi="Arial" w:cs="Arial"/>
                <w:b/>
              </w:rPr>
              <w:t xml:space="preserve">Complete the Risk Notification Form where this is not a Notifiable Incident under CQC Regulations (other Statutory Notifications may be required by CQC and this process has no bearing on a </w:t>
            </w:r>
            <w:r w:rsidR="0097006E" w:rsidRPr="005B78A7">
              <w:rPr>
                <w:rFonts w:ascii="Arial" w:hAnsi="Arial" w:cs="Arial"/>
                <w:b/>
              </w:rPr>
              <w:t>provider’s</w:t>
            </w:r>
            <w:r w:rsidRPr="005B78A7">
              <w:rPr>
                <w:rFonts w:ascii="Arial" w:hAnsi="Arial" w:cs="Arial"/>
                <w:b/>
              </w:rPr>
              <w:t xml:space="preserve"> regulatory responsibilities) or if the service is non-regulated. </w:t>
            </w:r>
          </w:p>
          <w:p w14:paraId="5BC4A649" w14:textId="77777777" w:rsidR="0088384E" w:rsidRPr="005B78A7" w:rsidRDefault="0088384E" w:rsidP="00BF28B8">
            <w:pPr>
              <w:rPr>
                <w:rFonts w:ascii="Arial" w:hAnsi="Arial" w:cs="Arial"/>
                <w:b/>
              </w:rPr>
            </w:pPr>
            <w:r w:rsidRPr="005B78A7">
              <w:rPr>
                <w:rFonts w:ascii="Arial" w:hAnsi="Arial" w:cs="Arial"/>
                <w:b/>
              </w:rPr>
              <w:t xml:space="preserve">Please refer to CQC Notification section below. </w:t>
            </w:r>
          </w:p>
          <w:p w14:paraId="222C228D" w14:textId="77777777" w:rsidR="0088384E" w:rsidRPr="005B78A7" w:rsidRDefault="0088384E" w:rsidP="00BF28B8">
            <w:pPr>
              <w:rPr>
                <w:rFonts w:ascii="Arial" w:hAnsi="Arial" w:cs="Arial"/>
              </w:rPr>
            </w:pPr>
            <w:r w:rsidRPr="005B78A7">
              <w:rPr>
                <w:rFonts w:ascii="Arial" w:hAnsi="Arial" w:cs="Arial"/>
              </w:rPr>
              <w:t>Ensure that you review your business continuity plan and ensure it remains fit for purpose.</w:t>
            </w:r>
          </w:p>
          <w:p w14:paraId="12364182" w14:textId="77777777" w:rsidR="0088384E" w:rsidRPr="005B78A7" w:rsidRDefault="0088384E" w:rsidP="00BF28B8">
            <w:pPr>
              <w:rPr>
                <w:rFonts w:ascii="Arial" w:hAnsi="Arial" w:cs="Arial"/>
              </w:rPr>
            </w:pPr>
          </w:p>
        </w:tc>
        <w:tc>
          <w:tcPr>
            <w:tcW w:w="7210" w:type="dxa"/>
            <w:gridSpan w:val="3"/>
            <w:shd w:val="clear" w:color="auto" w:fill="C5E0B3" w:themeFill="accent6" w:themeFillTint="66"/>
          </w:tcPr>
          <w:p w14:paraId="467BDA3D" w14:textId="77777777" w:rsidR="0088384E" w:rsidRPr="005B78A7" w:rsidRDefault="0088384E" w:rsidP="00BF28B8">
            <w:pPr>
              <w:pStyle w:val="ListParagraph"/>
              <w:numPr>
                <w:ilvl w:val="0"/>
                <w:numId w:val="43"/>
              </w:numPr>
              <w:rPr>
                <w:rFonts w:ascii="Arial" w:hAnsi="Arial" w:cs="Arial"/>
              </w:rPr>
            </w:pPr>
            <w:r w:rsidRPr="005B78A7">
              <w:rPr>
                <w:rFonts w:ascii="Arial" w:hAnsi="Arial" w:cs="Arial"/>
              </w:rPr>
              <w:t xml:space="preserve">Consider the impact on individual(s) and the resident group as a whole. </w:t>
            </w:r>
          </w:p>
          <w:p w14:paraId="187030FA" w14:textId="77777777" w:rsidR="0088384E" w:rsidRPr="005B78A7" w:rsidRDefault="0088384E" w:rsidP="00BF28B8">
            <w:pPr>
              <w:pStyle w:val="ListParagraph"/>
              <w:numPr>
                <w:ilvl w:val="0"/>
                <w:numId w:val="43"/>
              </w:numPr>
              <w:rPr>
                <w:rFonts w:ascii="Arial" w:hAnsi="Arial" w:cs="Arial"/>
              </w:rPr>
            </w:pPr>
            <w:r w:rsidRPr="005B78A7">
              <w:rPr>
                <w:rFonts w:ascii="Arial" w:hAnsi="Arial" w:cs="Arial"/>
              </w:rPr>
              <w:t xml:space="preserve">Depending upon the seriousness of the situation and/or number of environmental issues, this may need to be addressed within organisational safeguarding. </w:t>
            </w:r>
          </w:p>
          <w:p w14:paraId="23139FFE" w14:textId="77777777" w:rsidR="0088384E" w:rsidRPr="005B78A7" w:rsidRDefault="0088384E" w:rsidP="00BF28B8">
            <w:pPr>
              <w:pStyle w:val="ListParagraph"/>
              <w:numPr>
                <w:ilvl w:val="0"/>
                <w:numId w:val="43"/>
              </w:numPr>
              <w:rPr>
                <w:rFonts w:ascii="Arial" w:hAnsi="Arial" w:cs="Arial"/>
              </w:rPr>
            </w:pPr>
            <w:r w:rsidRPr="005B78A7">
              <w:rPr>
                <w:rFonts w:ascii="Arial" w:hAnsi="Arial" w:cs="Arial"/>
              </w:rPr>
              <w:t>Consult with the Safeguarding Lead for your organisation.</w:t>
            </w:r>
          </w:p>
          <w:p w14:paraId="42ED9D74" w14:textId="77777777" w:rsidR="0088384E" w:rsidRPr="005B78A7" w:rsidRDefault="0088384E" w:rsidP="00BF28B8">
            <w:pPr>
              <w:rPr>
                <w:rFonts w:ascii="Arial" w:hAnsi="Arial" w:cs="Arial"/>
                <w:b/>
              </w:rPr>
            </w:pPr>
          </w:p>
        </w:tc>
      </w:tr>
      <w:tr w:rsidR="00073BE4" w:rsidRPr="005B78A7" w14:paraId="192B2B5B" w14:textId="77777777" w:rsidTr="005B7CF2">
        <w:trPr>
          <w:gridAfter w:val="1"/>
          <w:wAfter w:w="14" w:type="dxa"/>
          <w:trHeight w:val="330"/>
        </w:trPr>
        <w:tc>
          <w:tcPr>
            <w:tcW w:w="14029" w:type="dxa"/>
            <w:gridSpan w:val="3"/>
            <w:shd w:val="clear" w:color="auto" w:fill="002060"/>
          </w:tcPr>
          <w:p w14:paraId="31DA2787" w14:textId="548AE8C4" w:rsidR="00073BE4" w:rsidRPr="005B78A7" w:rsidRDefault="00073BE4" w:rsidP="00BF28B8">
            <w:pPr>
              <w:jc w:val="center"/>
              <w:rPr>
                <w:rFonts w:ascii="Arial" w:hAnsi="Arial" w:cs="Arial"/>
                <w:b/>
              </w:rPr>
            </w:pPr>
          </w:p>
        </w:tc>
      </w:tr>
      <w:tr w:rsidR="005B7CF2" w:rsidRPr="005B78A7" w14:paraId="6A44168C" w14:textId="77777777" w:rsidTr="005B7CF2">
        <w:trPr>
          <w:gridAfter w:val="1"/>
          <w:wAfter w:w="14" w:type="dxa"/>
          <w:trHeight w:val="270"/>
        </w:trPr>
        <w:tc>
          <w:tcPr>
            <w:tcW w:w="14029" w:type="dxa"/>
            <w:gridSpan w:val="3"/>
            <w:shd w:val="clear" w:color="auto" w:fill="002060"/>
          </w:tcPr>
          <w:p w14:paraId="71086629" w14:textId="77777777" w:rsidR="005B7CF2" w:rsidRPr="005B78A7" w:rsidRDefault="005B7CF2" w:rsidP="002E0721">
            <w:pPr>
              <w:pStyle w:val="Heading1"/>
              <w:rPr>
                <w:rFonts w:ascii="Arial" w:hAnsi="Arial" w:cs="Arial"/>
              </w:rPr>
            </w:pPr>
            <w:bookmarkStart w:id="12" w:name="_Toc183025734"/>
            <w:r w:rsidRPr="005B78A7">
              <w:rPr>
                <w:rFonts w:ascii="Arial" w:hAnsi="Arial" w:cs="Arial"/>
              </w:rPr>
              <w:t>ACCIDENT(S) INCIDENT(S)/SERIOUS INCIDENT(S)</w:t>
            </w:r>
            <w:bookmarkEnd w:id="12"/>
          </w:p>
        </w:tc>
      </w:tr>
      <w:tr w:rsidR="005B7CF2" w:rsidRPr="005B78A7" w14:paraId="6F02399D" w14:textId="77777777" w:rsidTr="005B7CF2">
        <w:tblPrEx>
          <w:tblLook w:val="04A0" w:firstRow="1" w:lastRow="0" w:firstColumn="1" w:lastColumn="0" w:noHBand="0" w:noVBand="1"/>
        </w:tblPrEx>
        <w:trPr>
          <w:gridAfter w:val="1"/>
          <w:wAfter w:w="14" w:type="dxa"/>
          <w:trHeight w:val="337"/>
        </w:trPr>
        <w:tc>
          <w:tcPr>
            <w:tcW w:w="6941" w:type="dxa"/>
            <w:gridSpan w:val="2"/>
            <w:shd w:val="clear" w:color="auto" w:fill="002060"/>
          </w:tcPr>
          <w:p w14:paraId="5121E92D" w14:textId="77777777" w:rsidR="005B7CF2" w:rsidRPr="005B78A7" w:rsidRDefault="005B7CF2" w:rsidP="00BF28B8">
            <w:pPr>
              <w:spacing w:after="160" w:line="259" w:lineRule="auto"/>
              <w:rPr>
                <w:rFonts w:ascii="Arial" w:hAnsi="Arial" w:cs="Arial"/>
              </w:rPr>
            </w:pPr>
            <w:r w:rsidRPr="005B78A7">
              <w:rPr>
                <w:rFonts w:ascii="Arial" w:hAnsi="Arial" w:cs="Arial"/>
              </w:rPr>
              <w:t>Accident/Incident/Serious Incident</w:t>
            </w:r>
          </w:p>
        </w:tc>
        <w:tc>
          <w:tcPr>
            <w:tcW w:w="7088" w:type="dxa"/>
            <w:shd w:val="clear" w:color="auto" w:fill="002060"/>
          </w:tcPr>
          <w:p w14:paraId="1CFB47E7" w14:textId="77777777" w:rsidR="005B7CF2" w:rsidRPr="005B78A7" w:rsidRDefault="005B7CF2" w:rsidP="00BF28B8">
            <w:pPr>
              <w:spacing w:after="160" w:line="259" w:lineRule="auto"/>
              <w:rPr>
                <w:rFonts w:ascii="Arial" w:hAnsi="Arial" w:cs="Arial"/>
              </w:rPr>
            </w:pPr>
            <w:r w:rsidRPr="005B78A7">
              <w:rPr>
                <w:rFonts w:ascii="Arial" w:hAnsi="Arial" w:cs="Arial"/>
              </w:rPr>
              <w:t xml:space="preserve">Action to be taken </w:t>
            </w:r>
          </w:p>
        </w:tc>
      </w:tr>
      <w:tr w:rsidR="005B7CF2" w:rsidRPr="005B78A7" w14:paraId="6C9A5805" w14:textId="77777777" w:rsidTr="005B7CF2">
        <w:tblPrEx>
          <w:tblLook w:val="04A0" w:firstRow="1" w:lastRow="0" w:firstColumn="1" w:lastColumn="0" w:noHBand="0" w:noVBand="1"/>
        </w:tblPrEx>
        <w:trPr>
          <w:gridAfter w:val="1"/>
          <w:wAfter w:w="14" w:type="dxa"/>
        </w:trPr>
        <w:tc>
          <w:tcPr>
            <w:tcW w:w="6941" w:type="dxa"/>
            <w:gridSpan w:val="2"/>
            <w:shd w:val="clear" w:color="auto" w:fill="FFE599" w:themeFill="accent4" w:themeFillTint="66"/>
          </w:tcPr>
          <w:p w14:paraId="43692DED" w14:textId="19185A56" w:rsidR="005B7CF2" w:rsidRPr="005B78A7" w:rsidRDefault="005B7CF2" w:rsidP="00BF28B8">
            <w:pPr>
              <w:spacing w:after="160" w:line="259" w:lineRule="auto"/>
              <w:rPr>
                <w:rFonts w:ascii="Arial" w:hAnsi="Arial" w:cs="Arial"/>
              </w:rPr>
            </w:pPr>
            <w:r w:rsidRPr="005B78A7">
              <w:rPr>
                <w:rFonts w:ascii="Arial" w:hAnsi="Arial" w:cs="Arial"/>
              </w:rPr>
              <w:t>No requirement to complete a</w:t>
            </w:r>
            <w:r w:rsidR="00666281" w:rsidRPr="005B78A7">
              <w:rPr>
                <w:rFonts w:ascii="Arial" w:hAnsi="Arial" w:cs="Arial"/>
              </w:rPr>
              <w:t xml:space="preserve"> Non-Safeguarding Notification</w:t>
            </w:r>
            <w:r w:rsidRPr="005B78A7">
              <w:rPr>
                <w:rFonts w:ascii="Arial" w:hAnsi="Arial" w:cs="Arial"/>
              </w:rPr>
              <w:t xml:space="preserve"> Return.</w:t>
            </w:r>
          </w:p>
        </w:tc>
        <w:tc>
          <w:tcPr>
            <w:tcW w:w="7088" w:type="dxa"/>
            <w:shd w:val="clear" w:color="auto" w:fill="C5E0B3" w:themeFill="accent6" w:themeFillTint="66"/>
          </w:tcPr>
          <w:p w14:paraId="3513BA89" w14:textId="77777777" w:rsidR="005B7CF2" w:rsidRPr="005B78A7" w:rsidRDefault="005B7CF2" w:rsidP="00BF28B8">
            <w:pPr>
              <w:spacing w:after="160" w:line="259" w:lineRule="auto"/>
              <w:rPr>
                <w:rFonts w:ascii="Arial" w:hAnsi="Arial" w:cs="Arial"/>
              </w:rPr>
            </w:pPr>
            <w:r w:rsidRPr="005B78A7">
              <w:rPr>
                <w:rFonts w:ascii="Arial" w:hAnsi="Arial" w:cs="Arial"/>
              </w:rPr>
              <w:t xml:space="preserve">Provider to follow their own procedures regarding the following:  </w:t>
            </w:r>
          </w:p>
          <w:p w14:paraId="50E7E0A7" w14:textId="77777777" w:rsidR="005B7CF2" w:rsidRPr="005B78A7" w:rsidRDefault="005B7CF2" w:rsidP="00BF28B8">
            <w:pPr>
              <w:spacing w:after="160" w:line="259" w:lineRule="auto"/>
              <w:rPr>
                <w:rFonts w:ascii="Arial" w:hAnsi="Arial" w:cs="Arial"/>
              </w:rPr>
            </w:pPr>
            <w:r w:rsidRPr="005B78A7">
              <w:rPr>
                <w:rFonts w:ascii="Arial" w:hAnsi="Arial" w:cs="Arial"/>
              </w:rPr>
              <w:t xml:space="preserve">• RIDDOR </w:t>
            </w:r>
            <w:hyperlink r:id="rId16" w:history="1">
              <w:r w:rsidRPr="005B78A7">
                <w:rPr>
                  <w:rStyle w:val="Hyperlink"/>
                  <w:rFonts w:ascii="Arial" w:hAnsi="Arial" w:cs="Arial"/>
                </w:rPr>
                <w:t>https://www.hse.gov.uk/riddor/</w:t>
              </w:r>
            </w:hyperlink>
          </w:p>
          <w:p w14:paraId="6AA23A10" w14:textId="77777777" w:rsidR="005B7CF2" w:rsidRPr="005B78A7" w:rsidRDefault="005B7CF2" w:rsidP="00BF28B8">
            <w:pPr>
              <w:spacing w:after="160" w:line="259" w:lineRule="auto"/>
              <w:rPr>
                <w:rFonts w:ascii="Arial" w:hAnsi="Arial" w:cs="Arial"/>
              </w:rPr>
            </w:pPr>
            <w:r w:rsidRPr="005B78A7">
              <w:rPr>
                <w:rFonts w:ascii="Arial" w:hAnsi="Arial" w:cs="Arial"/>
              </w:rPr>
              <w:t xml:space="preserve">• CQC notification </w:t>
            </w:r>
            <w:hyperlink r:id="rId17" w:history="1">
              <w:r w:rsidRPr="005B78A7">
                <w:rPr>
                  <w:rStyle w:val="Hyperlink"/>
                  <w:rFonts w:ascii="Arial" w:hAnsi="Arial" w:cs="Arial"/>
                </w:rPr>
                <w:t>https://www.cqc.org.uk/guidance-providers/notifications/notification-finder</w:t>
              </w:r>
            </w:hyperlink>
            <w:r w:rsidRPr="005B78A7">
              <w:rPr>
                <w:rFonts w:ascii="Arial" w:hAnsi="Arial" w:cs="Arial"/>
              </w:rPr>
              <w:t xml:space="preserve"> (if you are a regulated service) </w:t>
            </w:r>
          </w:p>
        </w:tc>
      </w:tr>
    </w:tbl>
    <w:p w14:paraId="7572BF34" w14:textId="77777777" w:rsidR="00D12D79" w:rsidRPr="005B78A7" w:rsidRDefault="00D12D79" w:rsidP="0020393D">
      <w:pPr>
        <w:rPr>
          <w:rFonts w:ascii="Arial" w:hAnsi="Arial" w:cs="Arial"/>
        </w:rPr>
      </w:pPr>
    </w:p>
    <w:sectPr w:rsidR="00D12D79" w:rsidRPr="005B78A7" w:rsidSect="00415A02">
      <w:footerReference w:type="default" r:id="rId18"/>
      <w:headerReference w:type="first" r:id="rId19"/>
      <w:pgSz w:w="16838" w:h="11906" w:orient="landscape"/>
      <w:pgMar w:top="709" w:right="1440" w:bottom="1440" w:left="1440" w:header="0"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47BE" w14:textId="77777777" w:rsidR="008A154C" w:rsidRDefault="008A154C" w:rsidP="00E15550">
      <w:pPr>
        <w:spacing w:after="0" w:line="240" w:lineRule="auto"/>
      </w:pPr>
      <w:r>
        <w:separator/>
      </w:r>
    </w:p>
  </w:endnote>
  <w:endnote w:type="continuationSeparator" w:id="0">
    <w:p w14:paraId="7C8ABFBD" w14:textId="77777777" w:rsidR="008A154C" w:rsidRDefault="008A154C" w:rsidP="00E15550">
      <w:pPr>
        <w:spacing w:after="0" w:line="240" w:lineRule="auto"/>
      </w:pPr>
      <w:r>
        <w:continuationSeparator/>
      </w:r>
    </w:p>
  </w:endnote>
  <w:endnote w:type="continuationNotice" w:id="1">
    <w:p w14:paraId="5504C8F5" w14:textId="77777777" w:rsidR="008A154C" w:rsidRDefault="008A1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881633"/>
      <w:docPartObj>
        <w:docPartGallery w:val="Page Numbers (Bottom of Page)"/>
        <w:docPartUnique/>
      </w:docPartObj>
    </w:sdtPr>
    <w:sdtEndPr>
      <w:rPr>
        <w:noProof/>
      </w:rPr>
    </w:sdtEndPr>
    <w:sdtContent>
      <w:p w14:paraId="07219966" w14:textId="6D17CF12" w:rsidR="002933E9" w:rsidRDefault="002933E9">
        <w:pPr>
          <w:pStyle w:val="Footer"/>
          <w:jc w:val="right"/>
        </w:pPr>
        <w:r>
          <w:fldChar w:fldCharType="begin"/>
        </w:r>
        <w:r>
          <w:instrText xml:space="preserve"> PAGE   \* MERGEFORMAT </w:instrText>
        </w:r>
        <w:r>
          <w:fldChar w:fldCharType="separate"/>
        </w:r>
        <w:r w:rsidR="008B510E">
          <w:rPr>
            <w:noProof/>
          </w:rPr>
          <w:t>7</w:t>
        </w:r>
        <w:r>
          <w:rPr>
            <w:noProof/>
          </w:rPr>
          <w:fldChar w:fldCharType="end"/>
        </w:r>
      </w:p>
    </w:sdtContent>
  </w:sdt>
  <w:p w14:paraId="521C4AFC" w14:textId="5754D560" w:rsidR="001640D8" w:rsidRDefault="0016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43F0" w14:textId="77777777" w:rsidR="008A154C" w:rsidRDefault="008A154C" w:rsidP="00E15550">
      <w:pPr>
        <w:spacing w:after="0" w:line="240" w:lineRule="auto"/>
      </w:pPr>
      <w:r>
        <w:separator/>
      </w:r>
    </w:p>
  </w:footnote>
  <w:footnote w:type="continuationSeparator" w:id="0">
    <w:p w14:paraId="66C4D304" w14:textId="77777777" w:rsidR="008A154C" w:rsidRDefault="008A154C" w:rsidP="00E15550">
      <w:pPr>
        <w:spacing w:after="0" w:line="240" w:lineRule="auto"/>
      </w:pPr>
      <w:r>
        <w:continuationSeparator/>
      </w:r>
    </w:p>
  </w:footnote>
  <w:footnote w:type="continuationNotice" w:id="1">
    <w:p w14:paraId="5EF277A9" w14:textId="77777777" w:rsidR="008A154C" w:rsidRDefault="008A1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32"/>
        <w:szCs w:val="32"/>
      </w:rPr>
      <w:id w:val="-1511826569"/>
      <w:docPartObj>
        <w:docPartGallery w:val="Watermarks"/>
        <w:docPartUnique/>
      </w:docPartObj>
    </w:sdtPr>
    <w:sdtEndPr/>
    <w:sdtContent>
      <w:p w14:paraId="3B8FFA1A" w14:textId="447B8D8C" w:rsidR="00DB2C8A" w:rsidRPr="006E5765" w:rsidRDefault="0074532A" w:rsidP="006E5765">
        <w:pPr>
          <w:pStyle w:val="Default"/>
          <w:jc w:val="center"/>
          <w:rPr>
            <w:b/>
            <w:bCs/>
            <w:sz w:val="32"/>
            <w:szCs w:val="32"/>
          </w:rPr>
        </w:pPr>
        <w:r>
          <w:rPr>
            <w:b/>
            <w:bCs/>
            <w:noProof/>
            <w:sz w:val="32"/>
            <w:szCs w:val="32"/>
          </w:rPr>
          <w:pict w14:anchorId="74B83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1FADB40" w14:textId="0B8680E2" w:rsidR="00930CE6" w:rsidRDefault="00930CE6" w:rsidP="00D900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AA8"/>
    <w:multiLevelType w:val="hybridMultilevel"/>
    <w:tmpl w:val="20CA67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87E2B"/>
    <w:multiLevelType w:val="hybridMultilevel"/>
    <w:tmpl w:val="FEE424F6"/>
    <w:lvl w:ilvl="0" w:tplc="E586046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CB5596"/>
    <w:multiLevelType w:val="hybridMultilevel"/>
    <w:tmpl w:val="5686C1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0A12D3"/>
    <w:multiLevelType w:val="hybridMultilevel"/>
    <w:tmpl w:val="B5F4C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84341"/>
    <w:multiLevelType w:val="hybridMultilevel"/>
    <w:tmpl w:val="B23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41955"/>
    <w:multiLevelType w:val="hybridMultilevel"/>
    <w:tmpl w:val="5134AACC"/>
    <w:lvl w:ilvl="0" w:tplc="E9308FBC">
      <w:numFmt w:val="bullet"/>
      <w:lvlText w:val="•"/>
      <w:lvlJc w:val="left"/>
      <w:pPr>
        <w:ind w:left="1080" w:hanging="72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F6BEB"/>
    <w:multiLevelType w:val="hybridMultilevel"/>
    <w:tmpl w:val="AF1A1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0267FE"/>
    <w:multiLevelType w:val="hybridMultilevel"/>
    <w:tmpl w:val="8CB2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2E3F"/>
    <w:multiLevelType w:val="hybridMultilevel"/>
    <w:tmpl w:val="B4C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860D8"/>
    <w:multiLevelType w:val="hybridMultilevel"/>
    <w:tmpl w:val="34FE49D2"/>
    <w:lvl w:ilvl="0" w:tplc="E586046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73715"/>
    <w:multiLevelType w:val="hybridMultilevel"/>
    <w:tmpl w:val="B7B66C96"/>
    <w:lvl w:ilvl="0" w:tplc="E586046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F6C20"/>
    <w:multiLevelType w:val="hybridMultilevel"/>
    <w:tmpl w:val="942607C4"/>
    <w:lvl w:ilvl="0" w:tplc="E586046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C91A04"/>
    <w:multiLevelType w:val="hybridMultilevel"/>
    <w:tmpl w:val="8002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13534"/>
    <w:multiLevelType w:val="hybridMultilevel"/>
    <w:tmpl w:val="A3D4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4E29B0"/>
    <w:multiLevelType w:val="hybridMultilevel"/>
    <w:tmpl w:val="9F7AA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CB622A"/>
    <w:multiLevelType w:val="hybridMultilevel"/>
    <w:tmpl w:val="765A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F691F"/>
    <w:multiLevelType w:val="hybridMultilevel"/>
    <w:tmpl w:val="1EF859F0"/>
    <w:lvl w:ilvl="0" w:tplc="F7D2DE16">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9C47C68"/>
    <w:multiLevelType w:val="hybridMultilevel"/>
    <w:tmpl w:val="D2A81738"/>
    <w:lvl w:ilvl="0" w:tplc="E586046C">
      <w:numFmt w:val="bullet"/>
      <w:lvlText w:val="•"/>
      <w:lvlJc w:val="left"/>
      <w:pPr>
        <w:ind w:left="1080" w:hanging="360"/>
      </w:pPr>
      <w:rPr>
        <w:rFonts w:ascii="Calibri" w:eastAsiaTheme="minorHAnsi" w:hAnsi="Calibr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0340A95"/>
    <w:multiLevelType w:val="hybridMultilevel"/>
    <w:tmpl w:val="7562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21789"/>
    <w:multiLevelType w:val="hybridMultilevel"/>
    <w:tmpl w:val="82021F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46BB1"/>
    <w:multiLevelType w:val="hybridMultilevel"/>
    <w:tmpl w:val="81A04B7C"/>
    <w:lvl w:ilvl="0" w:tplc="E586046C">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9C15F7"/>
    <w:multiLevelType w:val="hybridMultilevel"/>
    <w:tmpl w:val="933AB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262E7"/>
    <w:multiLevelType w:val="hybridMultilevel"/>
    <w:tmpl w:val="17F8088E"/>
    <w:lvl w:ilvl="0" w:tplc="F7D2DE1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2A6CB6"/>
    <w:multiLevelType w:val="hybridMultilevel"/>
    <w:tmpl w:val="610A47E6"/>
    <w:lvl w:ilvl="0" w:tplc="08090001">
      <w:start w:val="1"/>
      <w:numFmt w:val="bullet"/>
      <w:lvlText w:val=""/>
      <w:lvlJc w:val="left"/>
      <w:pPr>
        <w:ind w:left="360" w:hanging="360"/>
      </w:pPr>
      <w:rPr>
        <w:rFonts w:ascii="Symbol" w:hAnsi="Symbol" w:hint="default"/>
      </w:rPr>
    </w:lvl>
    <w:lvl w:ilvl="1" w:tplc="6562C042">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01B9D"/>
    <w:multiLevelType w:val="hybridMultilevel"/>
    <w:tmpl w:val="18A27000"/>
    <w:lvl w:ilvl="0" w:tplc="E586046C">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B120CC"/>
    <w:multiLevelType w:val="hybridMultilevel"/>
    <w:tmpl w:val="BB567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7C7CC0"/>
    <w:multiLevelType w:val="hybridMultilevel"/>
    <w:tmpl w:val="56D6B8CA"/>
    <w:lvl w:ilvl="0" w:tplc="F7D2DE16">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F2C65"/>
    <w:multiLevelType w:val="hybridMultilevel"/>
    <w:tmpl w:val="9190B1C2"/>
    <w:lvl w:ilvl="0" w:tplc="D646CBA0">
      <w:start w:val="1"/>
      <w:numFmt w:val="bullet"/>
      <w:lvlText w:val=""/>
      <w:lvlJc w:val="left"/>
      <w:pPr>
        <w:ind w:left="1040" w:hanging="360"/>
      </w:pPr>
      <w:rPr>
        <w:rFonts w:ascii="Symbol" w:hAnsi="Symbol"/>
      </w:rPr>
    </w:lvl>
    <w:lvl w:ilvl="1" w:tplc="3B78FE48">
      <w:start w:val="1"/>
      <w:numFmt w:val="bullet"/>
      <w:lvlText w:val=""/>
      <w:lvlJc w:val="left"/>
      <w:pPr>
        <w:ind w:left="1040" w:hanging="360"/>
      </w:pPr>
      <w:rPr>
        <w:rFonts w:ascii="Symbol" w:hAnsi="Symbol"/>
      </w:rPr>
    </w:lvl>
    <w:lvl w:ilvl="2" w:tplc="BACEED5E">
      <w:start w:val="1"/>
      <w:numFmt w:val="bullet"/>
      <w:lvlText w:val=""/>
      <w:lvlJc w:val="left"/>
      <w:pPr>
        <w:ind w:left="1040" w:hanging="360"/>
      </w:pPr>
      <w:rPr>
        <w:rFonts w:ascii="Symbol" w:hAnsi="Symbol"/>
      </w:rPr>
    </w:lvl>
    <w:lvl w:ilvl="3" w:tplc="CF28E4E0">
      <w:start w:val="1"/>
      <w:numFmt w:val="bullet"/>
      <w:lvlText w:val=""/>
      <w:lvlJc w:val="left"/>
      <w:pPr>
        <w:ind w:left="1040" w:hanging="360"/>
      </w:pPr>
      <w:rPr>
        <w:rFonts w:ascii="Symbol" w:hAnsi="Symbol"/>
      </w:rPr>
    </w:lvl>
    <w:lvl w:ilvl="4" w:tplc="EE2A5CC2">
      <w:start w:val="1"/>
      <w:numFmt w:val="bullet"/>
      <w:lvlText w:val=""/>
      <w:lvlJc w:val="left"/>
      <w:pPr>
        <w:ind w:left="1040" w:hanging="360"/>
      </w:pPr>
      <w:rPr>
        <w:rFonts w:ascii="Symbol" w:hAnsi="Symbol"/>
      </w:rPr>
    </w:lvl>
    <w:lvl w:ilvl="5" w:tplc="030E9866">
      <w:start w:val="1"/>
      <w:numFmt w:val="bullet"/>
      <w:lvlText w:val=""/>
      <w:lvlJc w:val="left"/>
      <w:pPr>
        <w:ind w:left="1040" w:hanging="360"/>
      </w:pPr>
      <w:rPr>
        <w:rFonts w:ascii="Symbol" w:hAnsi="Symbol"/>
      </w:rPr>
    </w:lvl>
    <w:lvl w:ilvl="6" w:tplc="F926E58E">
      <w:start w:val="1"/>
      <w:numFmt w:val="bullet"/>
      <w:lvlText w:val=""/>
      <w:lvlJc w:val="left"/>
      <w:pPr>
        <w:ind w:left="1040" w:hanging="360"/>
      </w:pPr>
      <w:rPr>
        <w:rFonts w:ascii="Symbol" w:hAnsi="Symbol"/>
      </w:rPr>
    </w:lvl>
    <w:lvl w:ilvl="7" w:tplc="3CB4114E">
      <w:start w:val="1"/>
      <w:numFmt w:val="bullet"/>
      <w:lvlText w:val=""/>
      <w:lvlJc w:val="left"/>
      <w:pPr>
        <w:ind w:left="1040" w:hanging="360"/>
      </w:pPr>
      <w:rPr>
        <w:rFonts w:ascii="Symbol" w:hAnsi="Symbol"/>
      </w:rPr>
    </w:lvl>
    <w:lvl w:ilvl="8" w:tplc="4B683AD2">
      <w:start w:val="1"/>
      <w:numFmt w:val="bullet"/>
      <w:lvlText w:val=""/>
      <w:lvlJc w:val="left"/>
      <w:pPr>
        <w:ind w:left="1040" w:hanging="360"/>
      </w:pPr>
      <w:rPr>
        <w:rFonts w:ascii="Symbol" w:hAnsi="Symbol"/>
      </w:rPr>
    </w:lvl>
  </w:abstractNum>
  <w:abstractNum w:abstractNumId="28" w15:restartNumberingAfterBreak="0">
    <w:nsid w:val="4DF86A1D"/>
    <w:multiLevelType w:val="hybridMultilevel"/>
    <w:tmpl w:val="60DE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E5550"/>
    <w:multiLevelType w:val="hybridMultilevel"/>
    <w:tmpl w:val="6FAA2C46"/>
    <w:lvl w:ilvl="0" w:tplc="E586046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5354E"/>
    <w:multiLevelType w:val="hybridMultilevel"/>
    <w:tmpl w:val="5FDE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17E66"/>
    <w:multiLevelType w:val="hybridMultilevel"/>
    <w:tmpl w:val="1E8C5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441909"/>
    <w:multiLevelType w:val="hybridMultilevel"/>
    <w:tmpl w:val="6A8E6742"/>
    <w:lvl w:ilvl="0" w:tplc="7FD8FC86">
      <w:numFmt w:val="bullet"/>
      <w:lvlText w:val="•"/>
      <w:lvlJc w:val="left"/>
      <w:pPr>
        <w:ind w:left="720" w:hanging="672"/>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47F25"/>
    <w:multiLevelType w:val="hybridMultilevel"/>
    <w:tmpl w:val="FD22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0B2722"/>
    <w:multiLevelType w:val="hybridMultilevel"/>
    <w:tmpl w:val="0790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61840"/>
    <w:multiLevelType w:val="hybridMultilevel"/>
    <w:tmpl w:val="3FAE5800"/>
    <w:lvl w:ilvl="0" w:tplc="7FD8FC86">
      <w:numFmt w:val="bullet"/>
      <w:lvlText w:val="•"/>
      <w:lvlJc w:val="left"/>
      <w:pPr>
        <w:ind w:left="-844" w:hanging="672"/>
      </w:pPr>
      <w:rPr>
        <w:rFonts w:ascii="Calibri" w:eastAsiaTheme="minorHAnsi" w:hAnsi="Calibri" w:cstheme="minorBidi" w:hint="default"/>
      </w:rPr>
    </w:lvl>
    <w:lvl w:ilvl="1" w:tplc="08090003" w:tentative="1">
      <w:start w:val="1"/>
      <w:numFmt w:val="bullet"/>
      <w:lvlText w:val="o"/>
      <w:lvlJc w:val="left"/>
      <w:pPr>
        <w:ind w:left="-124" w:hanging="360"/>
      </w:pPr>
      <w:rPr>
        <w:rFonts w:ascii="Courier New" w:hAnsi="Courier New" w:cs="Courier New" w:hint="default"/>
      </w:rPr>
    </w:lvl>
    <w:lvl w:ilvl="2" w:tplc="08090005" w:tentative="1">
      <w:start w:val="1"/>
      <w:numFmt w:val="bullet"/>
      <w:lvlText w:val=""/>
      <w:lvlJc w:val="left"/>
      <w:pPr>
        <w:ind w:left="596" w:hanging="360"/>
      </w:pPr>
      <w:rPr>
        <w:rFonts w:ascii="Wingdings" w:hAnsi="Wingdings" w:hint="default"/>
      </w:rPr>
    </w:lvl>
    <w:lvl w:ilvl="3" w:tplc="08090001" w:tentative="1">
      <w:start w:val="1"/>
      <w:numFmt w:val="bullet"/>
      <w:lvlText w:val=""/>
      <w:lvlJc w:val="left"/>
      <w:pPr>
        <w:ind w:left="1316" w:hanging="360"/>
      </w:pPr>
      <w:rPr>
        <w:rFonts w:ascii="Symbol" w:hAnsi="Symbol" w:hint="default"/>
      </w:rPr>
    </w:lvl>
    <w:lvl w:ilvl="4" w:tplc="08090003" w:tentative="1">
      <w:start w:val="1"/>
      <w:numFmt w:val="bullet"/>
      <w:lvlText w:val="o"/>
      <w:lvlJc w:val="left"/>
      <w:pPr>
        <w:ind w:left="2036" w:hanging="360"/>
      </w:pPr>
      <w:rPr>
        <w:rFonts w:ascii="Courier New" w:hAnsi="Courier New" w:cs="Courier New" w:hint="default"/>
      </w:rPr>
    </w:lvl>
    <w:lvl w:ilvl="5" w:tplc="08090005" w:tentative="1">
      <w:start w:val="1"/>
      <w:numFmt w:val="bullet"/>
      <w:lvlText w:val=""/>
      <w:lvlJc w:val="left"/>
      <w:pPr>
        <w:ind w:left="2756" w:hanging="360"/>
      </w:pPr>
      <w:rPr>
        <w:rFonts w:ascii="Wingdings" w:hAnsi="Wingdings" w:hint="default"/>
      </w:rPr>
    </w:lvl>
    <w:lvl w:ilvl="6" w:tplc="08090001" w:tentative="1">
      <w:start w:val="1"/>
      <w:numFmt w:val="bullet"/>
      <w:lvlText w:val=""/>
      <w:lvlJc w:val="left"/>
      <w:pPr>
        <w:ind w:left="3476" w:hanging="360"/>
      </w:pPr>
      <w:rPr>
        <w:rFonts w:ascii="Symbol" w:hAnsi="Symbol" w:hint="default"/>
      </w:rPr>
    </w:lvl>
    <w:lvl w:ilvl="7" w:tplc="08090003" w:tentative="1">
      <w:start w:val="1"/>
      <w:numFmt w:val="bullet"/>
      <w:lvlText w:val="o"/>
      <w:lvlJc w:val="left"/>
      <w:pPr>
        <w:ind w:left="4196" w:hanging="360"/>
      </w:pPr>
      <w:rPr>
        <w:rFonts w:ascii="Courier New" w:hAnsi="Courier New" w:cs="Courier New" w:hint="default"/>
      </w:rPr>
    </w:lvl>
    <w:lvl w:ilvl="8" w:tplc="08090005" w:tentative="1">
      <w:start w:val="1"/>
      <w:numFmt w:val="bullet"/>
      <w:lvlText w:val=""/>
      <w:lvlJc w:val="left"/>
      <w:pPr>
        <w:ind w:left="4916" w:hanging="360"/>
      </w:pPr>
      <w:rPr>
        <w:rFonts w:ascii="Wingdings" w:hAnsi="Wingdings" w:hint="default"/>
      </w:rPr>
    </w:lvl>
  </w:abstractNum>
  <w:abstractNum w:abstractNumId="36" w15:restartNumberingAfterBreak="0">
    <w:nsid w:val="675A3700"/>
    <w:multiLevelType w:val="hybridMultilevel"/>
    <w:tmpl w:val="77B4B2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E4252"/>
    <w:multiLevelType w:val="hybridMultilevel"/>
    <w:tmpl w:val="2304A1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7B6D4A"/>
    <w:multiLevelType w:val="hybridMultilevel"/>
    <w:tmpl w:val="1A8E1908"/>
    <w:lvl w:ilvl="0" w:tplc="E586046C">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7B21B3"/>
    <w:multiLevelType w:val="hybridMultilevel"/>
    <w:tmpl w:val="F6B4FC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881EC9"/>
    <w:multiLevelType w:val="hybridMultilevel"/>
    <w:tmpl w:val="52DC1212"/>
    <w:lvl w:ilvl="0" w:tplc="E586046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5075B6E"/>
    <w:multiLevelType w:val="hybridMultilevel"/>
    <w:tmpl w:val="84B0FBF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6572DD5"/>
    <w:multiLevelType w:val="hybridMultilevel"/>
    <w:tmpl w:val="0400DA8C"/>
    <w:lvl w:ilvl="0" w:tplc="7FD8FC86">
      <w:numFmt w:val="bullet"/>
      <w:lvlText w:val="•"/>
      <w:lvlJc w:val="left"/>
      <w:pPr>
        <w:ind w:left="768" w:hanging="672"/>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1A340E"/>
    <w:multiLevelType w:val="hybridMultilevel"/>
    <w:tmpl w:val="856043B0"/>
    <w:lvl w:ilvl="0" w:tplc="F7D2DE16">
      <w:start w:val="3"/>
      <w:numFmt w:val="bullet"/>
      <w:lvlText w:val="•"/>
      <w:lvlJc w:val="left"/>
      <w:pPr>
        <w:ind w:left="317" w:hanging="360"/>
      </w:pPr>
      <w:rPr>
        <w:rFonts w:ascii="Calibri" w:eastAsiaTheme="minorHAnsi" w:hAnsi="Calibri" w:cstheme="minorBidi"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44" w15:restartNumberingAfterBreak="0">
    <w:nsid w:val="7C407D70"/>
    <w:multiLevelType w:val="hybridMultilevel"/>
    <w:tmpl w:val="070CAB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07037153">
    <w:abstractNumId w:val="7"/>
  </w:num>
  <w:num w:numId="2" w16cid:durableId="1395858408">
    <w:abstractNumId w:val="10"/>
  </w:num>
  <w:num w:numId="3" w16cid:durableId="1037244012">
    <w:abstractNumId w:val="20"/>
  </w:num>
  <w:num w:numId="4" w16cid:durableId="1573541723">
    <w:abstractNumId w:val="44"/>
  </w:num>
  <w:num w:numId="5" w16cid:durableId="272130934">
    <w:abstractNumId w:val="17"/>
  </w:num>
  <w:num w:numId="6" w16cid:durableId="1257712111">
    <w:abstractNumId w:val="29"/>
  </w:num>
  <w:num w:numId="7" w16cid:durableId="2119568597">
    <w:abstractNumId w:val="21"/>
  </w:num>
  <w:num w:numId="8" w16cid:durableId="944271097">
    <w:abstractNumId w:val="38"/>
  </w:num>
  <w:num w:numId="9" w16cid:durableId="1627395671">
    <w:abstractNumId w:val="3"/>
  </w:num>
  <w:num w:numId="10" w16cid:durableId="1960793213">
    <w:abstractNumId w:val="24"/>
  </w:num>
  <w:num w:numId="11" w16cid:durableId="1450127260">
    <w:abstractNumId w:val="9"/>
  </w:num>
  <w:num w:numId="12" w16cid:durableId="1652370987">
    <w:abstractNumId w:val="25"/>
  </w:num>
  <w:num w:numId="13" w16cid:durableId="1229225745">
    <w:abstractNumId w:val="31"/>
  </w:num>
  <w:num w:numId="14" w16cid:durableId="1428379799">
    <w:abstractNumId w:val="23"/>
  </w:num>
  <w:num w:numId="15" w16cid:durableId="1072318152">
    <w:abstractNumId w:val="28"/>
  </w:num>
  <w:num w:numId="16" w16cid:durableId="1041713235">
    <w:abstractNumId w:val="0"/>
  </w:num>
  <w:num w:numId="17" w16cid:durableId="50273212">
    <w:abstractNumId w:val="14"/>
  </w:num>
  <w:num w:numId="18" w16cid:durableId="2016955808">
    <w:abstractNumId w:val="35"/>
  </w:num>
  <w:num w:numId="19" w16cid:durableId="1254822923">
    <w:abstractNumId w:val="6"/>
  </w:num>
  <w:num w:numId="20" w16cid:durableId="1371875520">
    <w:abstractNumId w:val="43"/>
  </w:num>
  <w:num w:numId="21" w16cid:durableId="744837958">
    <w:abstractNumId w:val="19"/>
  </w:num>
  <w:num w:numId="22" w16cid:durableId="237711410">
    <w:abstractNumId w:val="42"/>
  </w:num>
  <w:num w:numId="23" w16cid:durableId="45297905">
    <w:abstractNumId w:val="32"/>
  </w:num>
  <w:num w:numId="24" w16cid:durableId="1119446290">
    <w:abstractNumId w:val="8"/>
  </w:num>
  <w:num w:numId="25" w16cid:durableId="270817788">
    <w:abstractNumId w:val="13"/>
  </w:num>
  <w:num w:numId="26" w16cid:durableId="1417285328">
    <w:abstractNumId w:val="4"/>
  </w:num>
  <w:num w:numId="27" w16cid:durableId="109083862">
    <w:abstractNumId w:val="34"/>
  </w:num>
  <w:num w:numId="28" w16cid:durableId="1664117565">
    <w:abstractNumId w:val="5"/>
  </w:num>
  <w:num w:numId="29" w16cid:durableId="258758487">
    <w:abstractNumId w:val="18"/>
  </w:num>
  <w:num w:numId="30" w16cid:durableId="967509303">
    <w:abstractNumId w:val="11"/>
  </w:num>
  <w:num w:numId="31" w16cid:durableId="554853913">
    <w:abstractNumId w:val="40"/>
  </w:num>
  <w:num w:numId="32" w16cid:durableId="896938740">
    <w:abstractNumId w:val="41"/>
  </w:num>
  <w:num w:numId="33" w16cid:durableId="969045123">
    <w:abstractNumId w:val="37"/>
  </w:num>
  <w:num w:numId="34" w16cid:durableId="1423986250">
    <w:abstractNumId w:val="1"/>
  </w:num>
  <w:num w:numId="35" w16cid:durableId="1734498558">
    <w:abstractNumId w:val="33"/>
  </w:num>
  <w:num w:numId="36" w16cid:durableId="1395347884">
    <w:abstractNumId w:val="12"/>
  </w:num>
  <w:num w:numId="37" w16cid:durableId="799615470">
    <w:abstractNumId w:val="2"/>
  </w:num>
  <w:num w:numId="38" w16cid:durableId="1838882582">
    <w:abstractNumId w:val="39"/>
  </w:num>
  <w:num w:numId="39" w16cid:durableId="149565578">
    <w:abstractNumId w:val="15"/>
  </w:num>
  <w:num w:numId="40" w16cid:durableId="1885556759">
    <w:abstractNumId w:val="26"/>
  </w:num>
  <w:num w:numId="41" w16cid:durableId="1771658569">
    <w:abstractNumId w:val="16"/>
  </w:num>
  <w:num w:numId="42" w16cid:durableId="1508670050">
    <w:abstractNumId w:val="22"/>
  </w:num>
  <w:num w:numId="43" w16cid:durableId="6029392">
    <w:abstractNumId w:val="30"/>
  </w:num>
  <w:num w:numId="44" w16cid:durableId="668026757">
    <w:abstractNumId w:val="36"/>
  </w:num>
  <w:num w:numId="45" w16cid:durableId="18577671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50"/>
    <w:rsid w:val="000000BC"/>
    <w:rsid w:val="00010CC4"/>
    <w:rsid w:val="0002029D"/>
    <w:rsid w:val="00024B1E"/>
    <w:rsid w:val="00036D99"/>
    <w:rsid w:val="00045DD3"/>
    <w:rsid w:val="00073BE4"/>
    <w:rsid w:val="00075D3B"/>
    <w:rsid w:val="00097FA5"/>
    <w:rsid w:val="000B3910"/>
    <w:rsid w:val="000C2725"/>
    <w:rsid w:val="000C79F2"/>
    <w:rsid w:val="000D1D27"/>
    <w:rsid w:val="000D5E6A"/>
    <w:rsid w:val="000D6C2C"/>
    <w:rsid w:val="000E5AD1"/>
    <w:rsid w:val="000E7D7D"/>
    <w:rsid w:val="000F596D"/>
    <w:rsid w:val="0010220D"/>
    <w:rsid w:val="001073FF"/>
    <w:rsid w:val="00122F4C"/>
    <w:rsid w:val="00126C02"/>
    <w:rsid w:val="00146857"/>
    <w:rsid w:val="00147704"/>
    <w:rsid w:val="001640D8"/>
    <w:rsid w:val="00182694"/>
    <w:rsid w:val="00195358"/>
    <w:rsid w:val="0019661C"/>
    <w:rsid w:val="001C19FD"/>
    <w:rsid w:val="001D508A"/>
    <w:rsid w:val="001D7066"/>
    <w:rsid w:val="001F602C"/>
    <w:rsid w:val="0020393D"/>
    <w:rsid w:val="002102F5"/>
    <w:rsid w:val="00213353"/>
    <w:rsid w:val="00214A96"/>
    <w:rsid w:val="00226362"/>
    <w:rsid w:val="0024573B"/>
    <w:rsid w:val="00245ABA"/>
    <w:rsid w:val="00252B93"/>
    <w:rsid w:val="00253685"/>
    <w:rsid w:val="00262EBD"/>
    <w:rsid w:val="0026348A"/>
    <w:rsid w:val="00272F23"/>
    <w:rsid w:val="002912B7"/>
    <w:rsid w:val="002933E9"/>
    <w:rsid w:val="002A289B"/>
    <w:rsid w:val="002C1B4F"/>
    <w:rsid w:val="002C47F5"/>
    <w:rsid w:val="002E0721"/>
    <w:rsid w:val="002E458F"/>
    <w:rsid w:val="002E5FB7"/>
    <w:rsid w:val="002E660E"/>
    <w:rsid w:val="002F2D9F"/>
    <w:rsid w:val="002F333D"/>
    <w:rsid w:val="002F4D37"/>
    <w:rsid w:val="00306BD9"/>
    <w:rsid w:val="0030743B"/>
    <w:rsid w:val="003162BE"/>
    <w:rsid w:val="00324BA4"/>
    <w:rsid w:val="003306D5"/>
    <w:rsid w:val="00337003"/>
    <w:rsid w:val="003417AC"/>
    <w:rsid w:val="003501F6"/>
    <w:rsid w:val="00357DA4"/>
    <w:rsid w:val="00357E04"/>
    <w:rsid w:val="0036317F"/>
    <w:rsid w:val="00371652"/>
    <w:rsid w:val="00375836"/>
    <w:rsid w:val="003852A7"/>
    <w:rsid w:val="003906B0"/>
    <w:rsid w:val="003913F7"/>
    <w:rsid w:val="003A2FA9"/>
    <w:rsid w:val="003C0FC1"/>
    <w:rsid w:val="003F4CB7"/>
    <w:rsid w:val="003F7F27"/>
    <w:rsid w:val="00400F5F"/>
    <w:rsid w:val="00402679"/>
    <w:rsid w:val="00411EB9"/>
    <w:rsid w:val="00415A02"/>
    <w:rsid w:val="004249D7"/>
    <w:rsid w:val="00431E0E"/>
    <w:rsid w:val="00432052"/>
    <w:rsid w:val="00432487"/>
    <w:rsid w:val="004325FF"/>
    <w:rsid w:val="0044767E"/>
    <w:rsid w:val="00455CDA"/>
    <w:rsid w:val="00460B25"/>
    <w:rsid w:val="00461F1A"/>
    <w:rsid w:val="00471850"/>
    <w:rsid w:val="00475D07"/>
    <w:rsid w:val="00476856"/>
    <w:rsid w:val="004A1732"/>
    <w:rsid w:val="004B1BEE"/>
    <w:rsid w:val="004C666A"/>
    <w:rsid w:val="004D1A07"/>
    <w:rsid w:val="00501BF1"/>
    <w:rsid w:val="0050643E"/>
    <w:rsid w:val="00511A93"/>
    <w:rsid w:val="00534C74"/>
    <w:rsid w:val="00564D28"/>
    <w:rsid w:val="00580A51"/>
    <w:rsid w:val="00580F28"/>
    <w:rsid w:val="005954E7"/>
    <w:rsid w:val="005A7A49"/>
    <w:rsid w:val="005B6622"/>
    <w:rsid w:val="005B78A7"/>
    <w:rsid w:val="005B7CF2"/>
    <w:rsid w:val="005C3455"/>
    <w:rsid w:val="005D0D5C"/>
    <w:rsid w:val="005D29F8"/>
    <w:rsid w:val="005D3BF6"/>
    <w:rsid w:val="005D48EE"/>
    <w:rsid w:val="005D49D5"/>
    <w:rsid w:val="005D5286"/>
    <w:rsid w:val="005E04A2"/>
    <w:rsid w:val="005E112B"/>
    <w:rsid w:val="00611E16"/>
    <w:rsid w:val="00611EC8"/>
    <w:rsid w:val="00620C33"/>
    <w:rsid w:val="00621678"/>
    <w:rsid w:val="0062462F"/>
    <w:rsid w:val="00634AC4"/>
    <w:rsid w:val="00645447"/>
    <w:rsid w:val="00666281"/>
    <w:rsid w:val="00674671"/>
    <w:rsid w:val="00685751"/>
    <w:rsid w:val="00690CB0"/>
    <w:rsid w:val="00691948"/>
    <w:rsid w:val="0069370C"/>
    <w:rsid w:val="00694610"/>
    <w:rsid w:val="006A026A"/>
    <w:rsid w:val="006A17FE"/>
    <w:rsid w:val="006B073B"/>
    <w:rsid w:val="006C0A5F"/>
    <w:rsid w:val="006C3FDF"/>
    <w:rsid w:val="006C7D19"/>
    <w:rsid w:val="006D73B7"/>
    <w:rsid w:val="006E0E01"/>
    <w:rsid w:val="006E5765"/>
    <w:rsid w:val="006E5B45"/>
    <w:rsid w:val="0070389C"/>
    <w:rsid w:val="00703DAB"/>
    <w:rsid w:val="007229E0"/>
    <w:rsid w:val="00735EF8"/>
    <w:rsid w:val="00737D5E"/>
    <w:rsid w:val="0074532A"/>
    <w:rsid w:val="00751B5F"/>
    <w:rsid w:val="00752165"/>
    <w:rsid w:val="007542E0"/>
    <w:rsid w:val="00756D86"/>
    <w:rsid w:val="00766FEB"/>
    <w:rsid w:val="00773260"/>
    <w:rsid w:val="007A09B6"/>
    <w:rsid w:val="007A2DE1"/>
    <w:rsid w:val="007B1E8D"/>
    <w:rsid w:val="007B5CE5"/>
    <w:rsid w:val="007C2ABF"/>
    <w:rsid w:val="007F22F3"/>
    <w:rsid w:val="007F3CC8"/>
    <w:rsid w:val="00815D05"/>
    <w:rsid w:val="008364C2"/>
    <w:rsid w:val="00840AC9"/>
    <w:rsid w:val="00845C83"/>
    <w:rsid w:val="00855ABB"/>
    <w:rsid w:val="00864E2F"/>
    <w:rsid w:val="00872DC5"/>
    <w:rsid w:val="0087626E"/>
    <w:rsid w:val="0088384E"/>
    <w:rsid w:val="008A064F"/>
    <w:rsid w:val="008A154C"/>
    <w:rsid w:val="008B0D39"/>
    <w:rsid w:val="008B178A"/>
    <w:rsid w:val="008B510E"/>
    <w:rsid w:val="008B7AE6"/>
    <w:rsid w:val="008C39FD"/>
    <w:rsid w:val="008C4C21"/>
    <w:rsid w:val="008D1496"/>
    <w:rsid w:val="008D4B7C"/>
    <w:rsid w:val="008F3AC4"/>
    <w:rsid w:val="00901410"/>
    <w:rsid w:val="00921399"/>
    <w:rsid w:val="00926E24"/>
    <w:rsid w:val="00930CE6"/>
    <w:rsid w:val="009340E7"/>
    <w:rsid w:val="009404CD"/>
    <w:rsid w:val="00943042"/>
    <w:rsid w:val="009467EC"/>
    <w:rsid w:val="0094731D"/>
    <w:rsid w:val="00962BB8"/>
    <w:rsid w:val="009658F6"/>
    <w:rsid w:val="0097006E"/>
    <w:rsid w:val="009766FE"/>
    <w:rsid w:val="0097762A"/>
    <w:rsid w:val="00986A1E"/>
    <w:rsid w:val="00990879"/>
    <w:rsid w:val="00994390"/>
    <w:rsid w:val="009B2CF4"/>
    <w:rsid w:val="009D1D30"/>
    <w:rsid w:val="009F41C4"/>
    <w:rsid w:val="00A14BD8"/>
    <w:rsid w:val="00A33FD6"/>
    <w:rsid w:val="00A348D7"/>
    <w:rsid w:val="00A3619A"/>
    <w:rsid w:val="00A40CCF"/>
    <w:rsid w:val="00A51882"/>
    <w:rsid w:val="00A70EDC"/>
    <w:rsid w:val="00A76687"/>
    <w:rsid w:val="00A83ADD"/>
    <w:rsid w:val="00A91FB0"/>
    <w:rsid w:val="00A97FEC"/>
    <w:rsid w:val="00AA24E2"/>
    <w:rsid w:val="00AA7B07"/>
    <w:rsid w:val="00AB605B"/>
    <w:rsid w:val="00AC3837"/>
    <w:rsid w:val="00AC4598"/>
    <w:rsid w:val="00AE1D0A"/>
    <w:rsid w:val="00AE5D0B"/>
    <w:rsid w:val="00B01BD0"/>
    <w:rsid w:val="00B22DBA"/>
    <w:rsid w:val="00B24DFB"/>
    <w:rsid w:val="00B34058"/>
    <w:rsid w:val="00B5464E"/>
    <w:rsid w:val="00B83DF0"/>
    <w:rsid w:val="00BB39DE"/>
    <w:rsid w:val="00BC57E0"/>
    <w:rsid w:val="00BE7458"/>
    <w:rsid w:val="00BF06A8"/>
    <w:rsid w:val="00BF28B8"/>
    <w:rsid w:val="00C06B7D"/>
    <w:rsid w:val="00C62D70"/>
    <w:rsid w:val="00C70196"/>
    <w:rsid w:val="00C7556D"/>
    <w:rsid w:val="00C80FC8"/>
    <w:rsid w:val="00C95BCE"/>
    <w:rsid w:val="00C96F6A"/>
    <w:rsid w:val="00CA316F"/>
    <w:rsid w:val="00CB420E"/>
    <w:rsid w:val="00CC6FF4"/>
    <w:rsid w:val="00CD1151"/>
    <w:rsid w:val="00CD3B87"/>
    <w:rsid w:val="00CD7CB3"/>
    <w:rsid w:val="00CE2936"/>
    <w:rsid w:val="00CF0108"/>
    <w:rsid w:val="00CF496F"/>
    <w:rsid w:val="00D02F8A"/>
    <w:rsid w:val="00D12D79"/>
    <w:rsid w:val="00D15089"/>
    <w:rsid w:val="00D23E96"/>
    <w:rsid w:val="00D27337"/>
    <w:rsid w:val="00D30DA5"/>
    <w:rsid w:val="00D34A4B"/>
    <w:rsid w:val="00D57233"/>
    <w:rsid w:val="00D619A6"/>
    <w:rsid w:val="00D63A0C"/>
    <w:rsid w:val="00D700CD"/>
    <w:rsid w:val="00D7451E"/>
    <w:rsid w:val="00D838FE"/>
    <w:rsid w:val="00D9009A"/>
    <w:rsid w:val="00D9486D"/>
    <w:rsid w:val="00DA53DB"/>
    <w:rsid w:val="00DB1A46"/>
    <w:rsid w:val="00DB2C8A"/>
    <w:rsid w:val="00DB2ED3"/>
    <w:rsid w:val="00DC296F"/>
    <w:rsid w:val="00DE1893"/>
    <w:rsid w:val="00DE6F33"/>
    <w:rsid w:val="00DE7379"/>
    <w:rsid w:val="00DF2901"/>
    <w:rsid w:val="00E039A9"/>
    <w:rsid w:val="00E13A5B"/>
    <w:rsid w:val="00E15550"/>
    <w:rsid w:val="00E24528"/>
    <w:rsid w:val="00E319C4"/>
    <w:rsid w:val="00E32C85"/>
    <w:rsid w:val="00E332D0"/>
    <w:rsid w:val="00E372AA"/>
    <w:rsid w:val="00E507F5"/>
    <w:rsid w:val="00E555ED"/>
    <w:rsid w:val="00E66830"/>
    <w:rsid w:val="00E70F58"/>
    <w:rsid w:val="00E71E34"/>
    <w:rsid w:val="00E77D27"/>
    <w:rsid w:val="00E974DB"/>
    <w:rsid w:val="00EB1AD2"/>
    <w:rsid w:val="00EB2AC6"/>
    <w:rsid w:val="00EB6F47"/>
    <w:rsid w:val="00ED33AF"/>
    <w:rsid w:val="00ED4380"/>
    <w:rsid w:val="00ED50BD"/>
    <w:rsid w:val="00EE1F49"/>
    <w:rsid w:val="00F00950"/>
    <w:rsid w:val="00F05A8E"/>
    <w:rsid w:val="00F20352"/>
    <w:rsid w:val="00F21D36"/>
    <w:rsid w:val="00F232F2"/>
    <w:rsid w:val="00F36ED2"/>
    <w:rsid w:val="00F45E9F"/>
    <w:rsid w:val="00F55303"/>
    <w:rsid w:val="00F66FBE"/>
    <w:rsid w:val="00F75499"/>
    <w:rsid w:val="00F85482"/>
    <w:rsid w:val="00F941E2"/>
    <w:rsid w:val="00FA537C"/>
    <w:rsid w:val="00FD2D54"/>
    <w:rsid w:val="00FD3DE9"/>
    <w:rsid w:val="00FD7893"/>
    <w:rsid w:val="00FF7B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3CFB2"/>
  <w15:docId w15:val="{A6051944-3BDA-4B6A-ADDB-6332732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EB9"/>
  </w:style>
  <w:style w:type="paragraph" w:styleId="Heading1">
    <w:name w:val="heading 1"/>
    <w:basedOn w:val="Normal"/>
    <w:next w:val="Normal"/>
    <w:link w:val="Heading1Char"/>
    <w:uiPriority w:val="9"/>
    <w:qFormat/>
    <w:rsid w:val="002E0721"/>
    <w:pPr>
      <w:keepNext/>
      <w:keepLines/>
      <w:spacing w:before="240" w:after="0"/>
      <w:outlineLvl w:val="0"/>
    </w:pPr>
    <w:rPr>
      <w:rFonts w:asciiTheme="majorHAnsi" w:eastAsiaTheme="majorEastAsia" w:hAnsiTheme="majorHAnsi" w:cstheme="majorBidi"/>
      <w:color w:val="FFFFFF" w:themeColor="background1"/>
      <w:sz w:val="32"/>
      <w:szCs w:val="32"/>
    </w:rPr>
  </w:style>
  <w:style w:type="paragraph" w:styleId="Heading2">
    <w:name w:val="heading 2"/>
    <w:basedOn w:val="Normal"/>
    <w:next w:val="Normal"/>
    <w:link w:val="Heading2Char"/>
    <w:uiPriority w:val="9"/>
    <w:unhideWhenUsed/>
    <w:qFormat/>
    <w:rsid w:val="008D1496"/>
    <w:pPr>
      <w:keepNext/>
      <w:keepLines/>
      <w:spacing w:before="40" w:after="0"/>
      <w:outlineLvl w:val="1"/>
    </w:pPr>
    <w:rPr>
      <w:rFonts w:ascii="Arial" w:eastAsiaTheme="majorEastAsia" w:hAnsi="Arial" w:cs="Arial"/>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5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5550"/>
    <w:rPr>
      <w:color w:val="0563C1" w:themeColor="hyperlink"/>
      <w:u w:val="single"/>
    </w:rPr>
  </w:style>
  <w:style w:type="paragraph" w:styleId="Header">
    <w:name w:val="header"/>
    <w:basedOn w:val="Normal"/>
    <w:link w:val="HeaderChar"/>
    <w:uiPriority w:val="99"/>
    <w:unhideWhenUsed/>
    <w:rsid w:val="00E15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550"/>
  </w:style>
  <w:style w:type="paragraph" w:styleId="Footer">
    <w:name w:val="footer"/>
    <w:basedOn w:val="Normal"/>
    <w:link w:val="FooterChar"/>
    <w:uiPriority w:val="99"/>
    <w:unhideWhenUsed/>
    <w:rsid w:val="00E15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550"/>
  </w:style>
  <w:style w:type="character" w:styleId="CommentReference">
    <w:name w:val="annotation reference"/>
    <w:basedOn w:val="DefaultParagraphFont"/>
    <w:uiPriority w:val="99"/>
    <w:semiHidden/>
    <w:unhideWhenUsed/>
    <w:rsid w:val="007A2DE1"/>
    <w:rPr>
      <w:sz w:val="16"/>
      <w:szCs w:val="16"/>
    </w:rPr>
  </w:style>
  <w:style w:type="paragraph" w:styleId="CommentText">
    <w:name w:val="annotation text"/>
    <w:basedOn w:val="Normal"/>
    <w:link w:val="CommentTextChar"/>
    <w:uiPriority w:val="99"/>
    <w:unhideWhenUsed/>
    <w:rsid w:val="007A2DE1"/>
    <w:pPr>
      <w:spacing w:line="240" w:lineRule="auto"/>
    </w:pPr>
    <w:rPr>
      <w:sz w:val="20"/>
      <w:szCs w:val="20"/>
    </w:rPr>
  </w:style>
  <w:style w:type="character" w:customStyle="1" w:styleId="CommentTextChar">
    <w:name w:val="Comment Text Char"/>
    <w:basedOn w:val="DefaultParagraphFont"/>
    <w:link w:val="CommentText"/>
    <w:uiPriority w:val="99"/>
    <w:rsid w:val="007A2DE1"/>
    <w:rPr>
      <w:sz w:val="20"/>
      <w:szCs w:val="20"/>
    </w:rPr>
  </w:style>
  <w:style w:type="paragraph" w:styleId="CommentSubject">
    <w:name w:val="annotation subject"/>
    <w:basedOn w:val="CommentText"/>
    <w:next w:val="CommentText"/>
    <w:link w:val="CommentSubjectChar"/>
    <w:uiPriority w:val="99"/>
    <w:semiHidden/>
    <w:unhideWhenUsed/>
    <w:rsid w:val="007A2DE1"/>
    <w:rPr>
      <w:b/>
      <w:bCs/>
    </w:rPr>
  </w:style>
  <w:style w:type="character" w:customStyle="1" w:styleId="CommentSubjectChar">
    <w:name w:val="Comment Subject Char"/>
    <w:basedOn w:val="CommentTextChar"/>
    <w:link w:val="CommentSubject"/>
    <w:uiPriority w:val="99"/>
    <w:semiHidden/>
    <w:rsid w:val="007A2DE1"/>
    <w:rPr>
      <w:b/>
      <w:bCs/>
      <w:sz w:val="20"/>
      <w:szCs w:val="20"/>
    </w:rPr>
  </w:style>
  <w:style w:type="paragraph" w:styleId="BalloonText">
    <w:name w:val="Balloon Text"/>
    <w:basedOn w:val="Normal"/>
    <w:link w:val="BalloonTextChar"/>
    <w:uiPriority w:val="99"/>
    <w:semiHidden/>
    <w:unhideWhenUsed/>
    <w:rsid w:val="007A2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DE1"/>
    <w:rPr>
      <w:rFonts w:ascii="Segoe UI" w:hAnsi="Segoe UI" w:cs="Segoe UI"/>
      <w:sz w:val="18"/>
      <w:szCs w:val="18"/>
    </w:rPr>
  </w:style>
  <w:style w:type="table" w:styleId="TableGrid">
    <w:name w:val="Table Grid"/>
    <w:basedOn w:val="TableNormal"/>
    <w:uiPriority w:val="39"/>
    <w:rsid w:val="0093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E9F"/>
    <w:pPr>
      <w:ind w:left="720"/>
      <w:contextualSpacing/>
    </w:pPr>
  </w:style>
  <w:style w:type="paragraph" w:styleId="Revision">
    <w:name w:val="Revision"/>
    <w:hidden/>
    <w:uiPriority w:val="99"/>
    <w:semiHidden/>
    <w:rsid w:val="000D5E6A"/>
    <w:pPr>
      <w:spacing w:after="0" w:line="240" w:lineRule="auto"/>
    </w:pPr>
  </w:style>
  <w:style w:type="paragraph" w:styleId="NoSpacing">
    <w:name w:val="No Spacing"/>
    <w:uiPriority w:val="1"/>
    <w:qFormat/>
    <w:rsid w:val="003417AC"/>
    <w:pPr>
      <w:spacing w:after="0" w:line="240" w:lineRule="auto"/>
    </w:pPr>
  </w:style>
  <w:style w:type="character" w:styleId="FollowedHyperlink">
    <w:name w:val="FollowedHyperlink"/>
    <w:basedOn w:val="DefaultParagraphFont"/>
    <w:uiPriority w:val="99"/>
    <w:semiHidden/>
    <w:unhideWhenUsed/>
    <w:rsid w:val="001C19FD"/>
    <w:rPr>
      <w:color w:val="954F72" w:themeColor="followedHyperlink"/>
      <w:u w:val="single"/>
    </w:rPr>
  </w:style>
  <w:style w:type="character" w:styleId="UnresolvedMention">
    <w:name w:val="Unresolved Mention"/>
    <w:basedOn w:val="DefaultParagraphFont"/>
    <w:uiPriority w:val="99"/>
    <w:semiHidden/>
    <w:unhideWhenUsed/>
    <w:rsid w:val="00511A93"/>
    <w:rPr>
      <w:color w:val="605E5C"/>
      <w:shd w:val="clear" w:color="auto" w:fill="E1DFDD"/>
    </w:rPr>
  </w:style>
  <w:style w:type="character" w:customStyle="1" w:styleId="cf01">
    <w:name w:val="cf01"/>
    <w:basedOn w:val="DefaultParagraphFont"/>
    <w:rsid w:val="00737D5E"/>
    <w:rPr>
      <w:rFonts w:ascii="Segoe UI" w:hAnsi="Segoe UI" w:cs="Segoe UI" w:hint="default"/>
      <w:sz w:val="18"/>
      <w:szCs w:val="18"/>
    </w:rPr>
  </w:style>
  <w:style w:type="character" w:customStyle="1" w:styleId="Heading1Char">
    <w:name w:val="Heading 1 Char"/>
    <w:basedOn w:val="DefaultParagraphFont"/>
    <w:link w:val="Heading1"/>
    <w:uiPriority w:val="9"/>
    <w:rsid w:val="002E0721"/>
    <w:rPr>
      <w:rFonts w:asciiTheme="majorHAnsi" w:eastAsiaTheme="majorEastAsia" w:hAnsiTheme="majorHAnsi" w:cstheme="majorBidi"/>
      <w:color w:val="FFFFFF" w:themeColor="background1"/>
      <w:sz w:val="32"/>
      <w:szCs w:val="32"/>
    </w:rPr>
  </w:style>
  <w:style w:type="paragraph" w:styleId="TOC1">
    <w:name w:val="toc 1"/>
    <w:basedOn w:val="Normal"/>
    <w:next w:val="Normal"/>
    <w:autoRedefine/>
    <w:uiPriority w:val="39"/>
    <w:unhideWhenUsed/>
    <w:rsid w:val="002E0721"/>
    <w:pPr>
      <w:spacing w:after="100"/>
    </w:pPr>
  </w:style>
  <w:style w:type="character" w:customStyle="1" w:styleId="Heading2Char">
    <w:name w:val="Heading 2 Char"/>
    <w:basedOn w:val="DefaultParagraphFont"/>
    <w:link w:val="Heading2"/>
    <w:uiPriority w:val="9"/>
    <w:rsid w:val="008D1496"/>
    <w:rPr>
      <w:rFonts w:ascii="Arial" w:eastAsiaTheme="majorEastAsia" w:hAnsi="Arial" w:cs="Arial"/>
      <w:color w:val="2E74B5" w:themeColor="accent1" w:themeShade="BF"/>
      <w:sz w:val="26"/>
      <w:szCs w:val="26"/>
    </w:rPr>
  </w:style>
  <w:style w:type="paragraph" w:styleId="TOC2">
    <w:name w:val="toc 2"/>
    <w:basedOn w:val="Normal"/>
    <w:next w:val="Normal"/>
    <w:autoRedefine/>
    <w:uiPriority w:val="39"/>
    <w:unhideWhenUsed/>
    <w:rsid w:val="008D14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nottinghamshire.gov.uk/en/AchieveForms/?form_uri=sandbox-publish://AF-Process-61273fbd-d278-47f8-8f71-3644aa35a7de/AF-Stage-a99f0c07-0794-4cc2-82bb-43caa8f69d40/definition.json&amp;redirectlink=%2Fen&amp;cancelRedirectLink=%2Fen&amp;consentMessage=y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nottinghamshire.gov.uk/en/AchieveForms/?form_uri=sandbox-publish://AF-Process-61273fbd-d278-47f8-8f71-3644aa35a7de/AF-Stage-a99f0c07-0794-4cc2-82bb-43caa8f69d40/definition.json&amp;redirectlink=%2Fen&amp;cancelRedirectLink=%2Fen&amp;consentMessage=yes" TargetMode="External"/><Relationship Id="rId17" Type="http://schemas.openxmlformats.org/officeDocument/2006/relationships/hyperlink" Target="https://www.cqc.org.uk/guidance-providers/notifications/notification-finder" TargetMode="External"/><Relationship Id="rId2" Type="http://schemas.openxmlformats.org/officeDocument/2006/relationships/customXml" Target="../customXml/item2.xml"/><Relationship Id="rId16" Type="http://schemas.openxmlformats.org/officeDocument/2006/relationships/hyperlink" Target="https://www.hse.gov.uk/ridd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pressure-ulcers-how-to-safeguard-adul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sab.nottinghamshire.gov.uk/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8D75BFF28E444D8F4E2B1B8FD83491" ma:contentTypeVersion="17" ma:contentTypeDescription="Create a new document." ma:contentTypeScope="" ma:versionID="566be8ce0b21917e343280e944e3849e">
  <xsd:schema xmlns:xsd="http://www.w3.org/2001/XMLSchema" xmlns:xs="http://www.w3.org/2001/XMLSchema" xmlns:p="http://schemas.microsoft.com/office/2006/metadata/properties" xmlns:ns2="c53f4c42-5c3f-4b62-99c3-25a00ab73914" xmlns:ns3="fdec64e5-3f5f-40ec-b959-aeb39b432b0f" xmlns:ns4="88cc1ac3-d661-4513-9676-173c55b04fe2" targetNamespace="http://schemas.microsoft.com/office/2006/metadata/properties" ma:root="true" ma:fieldsID="ec8ca9d62fcc401bca58cdb4ed67dba9" ns2:_="" ns3:_="" ns4:_="">
    <xsd:import namespace="c53f4c42-5c3f-4b62-99c3-25a00ab73914"/>
    <xsd:import namespace="fdec64e5-3f5f-40ec-b959-aeb39b432b0f"/>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f4c42-5c3f-4b62-99c3-25a00ab73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c64e5-3f5f-40ec-b959-aeb39b432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d2bcff-cda9-4ed4-a097-7239a20cfdd0}" ma:internalName="TaxCatchAll" ma:showField="CatchAllData" ma:web="fdec64e5-3f5f-40ec-b959-aeb39b432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8cc1ac3-d661-4513-9676-173c55b04fe2" xsi:nil="true"/>
    <lcf76f155ced4ddcb4097134ff3c332f xmlns="c53f4c42-5c3f-4b62-99c3-25a00ab739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20EC60-4756-4CBE-BD1D-CE3A9E5A35AC}">
  <ds:schemaRefs>
    <ds:schemaRef ds:uri="http://schemas.openxmlformats.org/officeDocument/2006/bibliography"/>
  </ds:schemaRefs>
</ds:datastoreItem>
</file>

<file path=customXml/itemProps2.xml><?xml version="1.0" encoding="utf-8"?>
<ds:datastoreItem xmlns:ds="http://schemas.openxmlformats.org/officeDocument/2006/customXml" ds:itemID="{8FF9E1EB-144F-4A07-A8C2-58B4AD941553}">
  <ds:schemaRefs>
    <ds:schemaRef ds:uri="http://schemas.microsoft.com/sharepoint/v3/contenttype/forms"/>
  </ds:schemaRefs>
</ds:datastoreItem>
</file>

<file path=customXml/itemProps3.xml><?xml version="1.0" encoding="utf-8"?>
<ds:datastoreItem xmlns:ds="http://schemas.openxmlformats.org/officeDocument/2006/customXml" ds:itemID="{C85779DE-B3E0-4913-BE8C-D07E29910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f4c42-5c3f-4b62-99c3-25a00ab73914"/>
    <ds:schemaRef ds:uri="fdec64e5-3f5f-40ec-b959-aeb39b432b0f"/>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F5AB2-B22A-4CB4-93C8-B70E9D0BCBDF}">
  <ds:schemaRefs>
    <ds:schemaRef ds:uri="http://schemas.microsoft.com/office/2006/metadata/properties"/>
    <ds:schemaRef ds:uri="88cc1ac3-d661-4513-9676-173c55b04fe2"/>
    <ds:schemaRef ds:uri="http://purl.org/dc/terms/"/>
    <ds:schemaRef ds:uri="http://schemas.openxmlformats.org/package/2006/metadata/core-properties"/>
    <ds:schemaRef ds:uri="http://purl.org/dc/elements/1.1/"/>
    <ds:schemaRef ds:uri="c53f4c42-5c3f-4b62-99c3-25a00ab73914"/>
    <ds:schemaRef ds:uri="http://schemas.microsoft.com/office/2006/documentManagement/types"/>
    <ds:schemaRef ds:uri="http://www.w3.org/XML/1998/namespace"/>
    <ds:schemaRef ds:uri="http://purl.org/dc/dcmitype/"/>
    <ds:schemaRef ds:uri="http://schemas.microsoft.com/office/infopath/2007/PartnerControls"/>
    <ds:schemaRef ds:uri="fdec64e5-3f5f-40ec-b959-aeb39b432b0f"/>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2424</Words>
  <Characters>13821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Toman</dc:creator>
  <cp:keywords/>
  <dc:description/>
  <cp:lastModifiedBy>Andrea Bell2</cp:lastModifiedBy>
  <cp:revision>2</cp:revision>
  <dcterms:created xsi:type="dcterms:W3CDTF">2025-01-30T15:46:00Z</dcterms:created>
  <dcterms:modified xsi:type="dcterms:W3CDTF">2025-01-30T15:46:00Z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2020-12-14T15:47:54Z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629462a0-6994-4540-a466-00004ec95360</vt:lpwstr>
  </property>
  <property fmtid="{D5CDD505-2E9C-101B-9397-08002B2CF9AE}" pid="8" name="MSIP_Label_13f27b87-3675-4fb5-85ad-fce3efd3a6b0_ContentBits">
    <vt:lpwstr>2</vt:lpwstr>
  </property>
  <property fmtid="{D5CDD505-2E9C-101B-9397-08002B2CF9AE}" pid="9" name="ContentTypeId">
    <vt:lpwstr>0x0101002A8D75BFF28E444D8F4E2B1B8FD83491</vt:lpwstr>
  </property>
  <property fmtid="{D5CDD505-2E9C-101B-9397-08002B2CF9AE}" pid="10" name="MediaServiceImageTags">
    <vt:lpwstr/>
  </property>
</Properties>
</file>